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6104A4"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Будаговского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A3505B" w:rsidRDefault="00B43029" w:rsidP="007301CA">
      <w:pPr>
        <w:pStyle w:val="a3"/>
        <w:ind w:right="-271"/>
        <w:jc w:val="left"/>
        <w:rPr>
          <w:rFonts w:ascii="Times New Roman" w:hAnsi="Times New Roman"/>
          <w:b/>
          <w:spacing w:val="20"/>
          <w:sz w:val="28"/>
          <w:szCs w:val="28"/>
        </w:rPr>
      </w:pPr>
      <w:proofErr w:type="gramStart"/>
      <w:r w:rsidRPr="00A3505B">
        <w:rPr>
          <w:rFonts w:ascii="Times New Roman" w:hAnsi="Times New Roman"/>
          <w:b/>
          <w:spacing w:val="20"/>
          <w:sz w:val="28"/>
          <w:szCs w:val="28"/>
        </w:rPr>
        <w:t xml:space="preserve">« </w:t>
      </w:r>
      <w:r w:rsidR="00A3505B" w:rsidRPr="00A3505B">
        <w:rPr>
          <w:rFonts w:ascii="Times New Roman" w:hAnsi="Times New Roman"/>
          <w:b/>
          <w:spacing w:val="20"/>
          <w:sz w:val="28"/>
          <w:szCs w:val="28"/>
        </w:rPr>
        <w:t>30</w:t>
      </w:r>
      <w:proofErr w:type="gramEnd"/>
      <w:r w:rsidRPr="00A3505B">
        <w:rPr>
          <w:rFonts w:ascii="Times New Roman" w:hAnsi="Times New Roman"/>
          <w:b/>
          <w:spacing w:val="20"/>
          <w:sz w:val="28"/>
          <w:szCs w:val="28"/>
        </w:rPr>
        <w:t xml:space="preserve"> » </w:t>
      </w:r>
      <w:r w:rsidR="00A3505B" w:rsidRPr="00A3505B">
        <w:rPr>
          <w:rFonts w:ascii="Times New Roman" w:hAnsi="Times New Roman"/>
          <w:b/>
          <w:spacing w:val="20"/>
          <w:sz w:val="28"/>
          <w:szCs w:val="28"/>
        </w:rPr>
        <w:t xml:space="preserve">сентября </w:t>
      </w:r>
      <w:r w:rsidRPr="00A3505B">
        <w:rPr>
          <w:rFonts w:ascii="Times New Roman" w:hAnsi="Times New Roman"/>
          <w:b/>
          <w:spacing w:val="20"/>
          <w:sz w:val="28"/>
          <w:szCs w:val="28"/>
        </w:rPr>
        <w:t>20</w:t>
      </w:r>
      <w:r w:rsidR="006F7680" w:rsidRPr="00A3505B">
        <w:rPr>
          <w:rFonts w:ascii="Times New Roman" w:hAnsi="Times New Roman"/>
          <w:b/>
          <w:spacing w:val="20"/>
          <w:sz w:val="28"/>
          <w:szCs w:val="28"/>
        </w:rPr>
        <w:t>21</w:t>
      </w:r>
      <w:r w:rsidRPr="00A3505B">
        <w:rPr>
          <w:rFonts w:ascii="Times New Roman" w:hAnsi="Times New Roman"/>
          <w:b/>
          <w:spacing w:val="20"/>
          <w:sz w:val="28"/>
          <w:szCs w:val="28"/>
        </w:rPr>
        <w:t>г</w:t>
      </w:r>
      <w:r w:rsidRPr="00A3505B">
        <w:rPr>
          <w:rFonts w:ascii="Times New Roman" w:hAnsi="Times New Roman"/>
          <w:spacing w:val="20"/>
          <w:sz w:val="28"/>
          <w:szCs w:val="28"/>
        </w:rPr>
        <w:t xml:space="preserve">.                                   </w:t>
      </w:r>
      <w:r w:rsidR="00BA35C9" w:rsidRPr="00A3505B">
        <w:rPr>
          <w:rFonts w:ascii="Times New Roman" w:hAnsi="Times New Roman"/>
          <w:spacing w:val="20"/>
          <w:sz w:val="28"/>
          <w:szCs w:val="28"/>
        </w:rPr>
        <w:t xml:space="preserve">                   </w:t>
      </w:r>
      <w:r w:rsidRPr="00A3505B">
        <w:rPr>
          <w:rFonts w:ascii="Times New Roman" w:hAnsi="Times New Roman"/>
          <w:b/>
          <w:spacing w:val="20"/>
          <w:sz w:val="28"/>
          <w:szCs w:val="28"/>
        </w:rPr>
        <w:t xml:space="preserve">№ </w:t>
      </w:r>
      <w:r w:rsidR="00A3505B" w:rsidRPr="00A3505B">
        <w:rPr>
          <w:rFonts w:ascii="Times New Roman" w:hAnsi="Times New Roman"/>
          <w:b/>
          <w:spacing w:val="20"/>
          <w:sz w:val="28"/>
          <w:szCs w:val="28"/>
        </w:rPr>
        <w:t>36А-ПГ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6104A4" w:rsidP="007301CA">
      <w:pPr>
        <w:jc w:val="center"/>
        <w:rPr>
          <w:sz w:val="28"/>
          <w:szCs w:val="28"/>
        </w:rPr>
      </w:pPr>
      <w:r>
        <w:rPr>
          <w:sz w:val="28"/>
          <w:szCs w:val="28"/>
        </w:rPr>
        <w:t>с. Будагово</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bookmarkStart w:id="0" w:name="_GoBack"/>
      <w:bookmarkEnd w:id="0"/>
    </w:p>
    <w:p w:rsidR="00B43029" w:rsidRPr="007301CA" w:rsidRDefault="006104A4"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Будаговского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A3505B">
        <w:rPr>
          <w:sz w:val="28"/>
          <w:szCs w:val="28"/>
          <w:lang w:eastAsia="en-US"/>
        </w:rPr>
        <w:t>Будаговском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A3505B">
        <w:rPr>
          <w:sz w:val="28"/>
          <w:szCs w:val="28"/>
          <w:lang w:eastAsia="en-US"/>
        </w:rPr>
        <w:t>Будаговского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A3505B">
        <w:rPr>
          <w:sz w:val="28"/>
          <w:szCs w:val="28"/>
          <w:lang w:eastAsia="en-US"/>
        </w:rPr>
        <w:t>Будаговского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A3505B"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A3505B">
        <w:rPr>
          <w:sz w:val="28"/>
          <w:szCs w:val="28"/>
          <w:lang w:eastAsia="en-US"/>
        </w:rPr>
        <w:t>Будаговского</w:t>
      </w:r>
      <w:r w:rsidRPr="00E50AEE">
        <w:rPr>
          <w:sz w:val="28"/>
          <w:szCs w:val="28"/>
          <w:lang w:eastAsia="en-US"/>
        </w:rPr>
        <w:t xml:space="preserve"> сельского поселения от </w:t>
      </w:r>
      <w:r w:rsidR="00E264EA" w:rsidRPr="00A3505B">
        <w:rPr>
          <w:sz w:val="28"/>
          <w:szCs w:val="28"/>
          <w:lang w:eastAsia="en-US"/>
        </w:rPr>
        <w:t>30</w:t>
      </w:r>
      <w:r w:rsidR="007B1650" w:rsidRPr="00A3505B">
        <w:rPr>
          <w:sz w:val="28"/>
          <w:szCs w:val="28"/>
          <w:lang w:eastAsia="en-US"/>
        </w:rPr>
        <w:t xml:space="preserve"> сентября 2020</w:t>
      </w:r>
      <w:r w:rsidR="00E264EA" w:rsidRPr="00A3505B">
        <w:rPr>
          <w:sz w:val="28"/>
          <w:szCs w:val="28"/>
          <w:lang w:eastAsia="en-US"/>
        </w:rPr>
        <w:t xml:space="preserve"> </w:t>
      </w:r>
      <w:r w:rsidRPr="00A3505B">
        <w:rPr>
          <w:sz w:val="28"/>
          <w:szCs w:val="28"/>
          <w:lang w:eastAsia="en-US"/>
        </w:rPr>
        <w:t xml:space="preserve">г. № </w:t>
      </w:r>
      <w:r w:rsidR="00A3505B" w:rsidRPr="00A3505B">
        <w:rPr>
          <w:sz w:val="28"/>
          <w:szCs w:val="28"/>
          <w:lang w:eastAsia="en-US"/>
        </w:rPr>
        <w:t>28</w:t>
      </w:r>
      <w:r w:rsidRPr="00A3505B">
        <w:rPr>
          <w:sz w:val="28"/>
          <w:szCs w:val="28"/>
          <w:lang w:eastAsia="en-US"/>
        </w:rPr>
        <w:t>-пг «Об основных</w:t>
      </w:r>
      <w:r w:rsidR="00AC1CD8" w:rsidRPr="00A3505B">
        <w:rPr>
          <w:sz w:val="28"/>
          <w:szCs w:val="28"/>
          <w:lang w:eastAsia="en-US"/>
        </w:rPr>
        <w:t xml:space="preserve"> направлениях бюджетной</w:t>
      </w:r>
      <w:r w:rsidRPr="00A3505B">
        <w:rPr>
          <w:sz w:val="28"/>
          <w:szCs w:val="28"/>
          <w:lang w:eastAsia="en-US"/>
        </w:rPr>
        <w:t xml:space="preserve"> </w:t>
      </w:r>
      <w:r w:rsidR="00AC1CD8" w:rsidRPr="00A3505B">
        <w:rPr>
          <w:sz w:val="28"/>
          <w:szCs w:val="28"/>
          <w:lang w:eastAsia="en-US"/>
        </w:rPr>
        <w:t xml:space="preserve">и налоговой политики </w:t>
      </w:r>
      <w:r w:rsidR="00A3505B" w:rsidRPr="00A3505B">
        <w:rPr>
          <w:sz w:val="28"/>
          <w:szCs w:val="28"/>
          <w:lang w:eastAsia="en-US"/>
        </w:rPr>
        <w:t>Будаговского</w:t>
      </w:r>
      <w:r w:rsidRPr="00A3505B">
        <w:rPr>
          <w:sz w:val="28"/>
          <w:szCs w:val="28"/>
          <w:lang w:eastAsia="en-US"/>
        </w:rPr>
        <w:t xml:space="preserve"> муниципального образования на 20</w:t>
      </w:r>
      <w:r w:rsidR="007B1650" w:rsidRPr="00A3505B">
        <w:rPr>
          <w:sz w:val="28"/>
          <w:szCs w:val="28"/>
          <w:lang w:eastAsia="en-US"/>
        </w:rPr>
        <w:t>21</w:t>
      </w:r>
      <w:r w:rsidRPr="00A3505B">
        <w:rPr>
          <w:sz w:val="28"/>
          <w:szCs w:val="28"/>
          <w:lang w:eastAsia="en-US"/>
        </w:rPr>
        <w:t xml:space="preserve"> год и плановый период 202</w:t>
      </w:r>
      <w:r w:rsidR="007B1650" w:rsidRPr="00A3505B">
        <w:rPr>
          <w:sz w:val="28"/>
          <w:szCs w:val="28"/>
          <w:lang w:eastAsia="en-US"/>
        </w:rPr>
        <w:t>2</w:t>
      </w:r>
      <w:r w:rsidRPr="00A3505B">
        <w:rPr>
          <w:sz w:val="28"/>
          <w:szCs w:val="28"/>
          <w:lang w:eastAsia="en-US"/>
        </w:rPr>
        <w:t xml:space="preserve"> и 202</w:t>
      </w:r>
      <w:r w:rsidR="007B1650" w:rsidRPr="00A3505B">
        <w:rPr>
          <w:sz w:val="28"/>
          <w:szCs w:val="28"/>
          <w:lang w:eastAsia="en-US"/>
        </w:rPr>
        <w:t>3</w:t>
      </w:r>
      <w:r w:rsidRPr="00A3505B">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A3505B">
        <w:rPr>
          <w:sz w:val="28"/>
          <w:szCs w:val="28"/>
          <w:lang w:eastAsia="en-US"/>
        </w:rPr>
        <w:t>Будаговский</w:t>
      </w:r>
      <w:r w:rsidR="00B43029" w:rsidRPr="00725608">
        <w:rPr>
          <w:sz w:val="28"/>
          <w:szCs w:val="28"/>
          <w:lang w:eastAsia="en-US"/>
        </w:rPr>
        <w:t xml:space="preserve"> вестник» и разместить на официальном сайте администрации </w:t>
      </w:r>
      <w:r w:rsidR="00A3505B">
        <w:rPr>
          <w:sz w:val="28"/>
          <w:szCs w:val="28"/>
          <w:lang w:eastAsia="en-US"/>
        </w:rPr>
        <w:t>Будаговского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A3505B">
        <w:rPr>
          <w:rFonts w:ascii="Times New Roman" w:hAnsi="Times New Roman" w:cs="Times New Roman"/>
          <w:sz w:val="28"/>
          <w:szCs w:val="28"/>
        </w:rPr>
        <w:t>Будаговского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A3505B">
        <w:rPr>
          <w:rFonts w:ascii="Times New Roman" w:hAnsi="Times New Roman" w:cs="Times New Roman"/>
          <w:sz w:val="28"/>
          <w:szCs w:val="28"/>
        </w:rPr>
        <w:t>И.А.Лысенко</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A3505B">
        <w:rPr>
          <w:rFonts w:ascii="Times New Roman" w:hAnsi="Times New Roman" w:cs="Times New Roman"/>
          <w:sz w:val="28"/>
          <w:szCs w:val="28"/>
        </w:rPr>
        <w:t>Будаговского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A3505B">
        <w:rPr>
          <w:rFonts w:ascii="Times New Roman" w:hAnsi="Times New Roman" w:cs="Times New Roman"/>
          <w:sz w:val="28"/>
          <w:szCs w:val="28"/>
        </w:rPr>
        <w:t>30.09.2021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A3505B">
        <w:rPr>
          <w:rFonts w:ascii="Times New Roman" w:hAnsi="Times New Roman" w:cs="Times New Roman"/>
          <w:sz w:val="28"/>
          <w:szCs w:val="28"/>
        </w:rPr>
        <w:t>36А-ПГ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A3505B">
        <w:rPr>
          <w:rFonts w:ascii="Times New Roman" w:hAnsi="Times New Roman" w:cs="Times New Roman"/>
          <w:sz w:val="28"/>
          <w:szCs w:val="28"/>
        </w:rPr>
        <w:t>БУДАГОВСКОГО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A3505B">
        <w:rPr>
          <w:sz w:val="28"/>
          <w:szCs w:val="28"/>
          <w:lang w:eastAsia="en-US"/>
        </w:rPr>
        <w:t>Будаговском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A3505B">
        <w:rPr>
          <w:sz w:val="28"/>
          <w:szCs w:val="28"/>
        </w:rPr>
        <w:t>Будаговского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A3505B">
        <w:rPr>
          <w:sz w:val="28"/>
          <w:szCs w:val="28"/>
        </w:rPr>
        <w:t>Будаговского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A3505B">
        <w:rPr>
          <w:sz w:val="28"/>
          <w:szCs w:val="28"/>
          <w:lang w:eastAsia="en-US"/>
        </w:rPr>
        <w:t>Будаговского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A3505B">
        <w:rPr>
          <w:sz w:val="28"/>
          <w:szCs w:val="28"/>
        </w:rPr>
        <w:t>Будаговского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A3505B">
        <w:rPr>
          <w:sz w:val="28"/>
          <w:szCs w:val="28"/>
        </w:rPr>
        <w:t>Будаговского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A3505B" w:rsidRDefault="00A3505B" w:rsidP="00A3505B">
      <w:pPr>
        <w:pStyle w:val="ConsPlusNormal"/>
        <w:widowControl/>
        <w:ind w:firstLine="0"/>
        <w:outlineLvl w:val="1"/>
        <w:rPr>
          <w:rFonts w:ascii="Times New Roman" w:hAnsi="Times New Roman" w:cs="Times New Roman"/>
          <w:sz w:val="28"/>
          <w:szCs w:val="28"/>
        </w:rPr>
      </w:pPr>
    </w:p>
    <w:p w:rsidR="00B43029" w:rsidRPr="00725608" w:rsidRDefault="00B43029" w:rsidP="00A3505B">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A3505B">
        <w:rPr>
          <w:sz w:val="28"/>
          <w:szCs w:val="28"/>
        </w:rPr>
        <w:t>Будаговского</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A3505B">
        <w:rPr>
          <w:sz w:val="28"/>
          <w:szCs w:val="28"/>
        </w:rPr>
        <w:t>Будаговского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A3505B">
        <w:rPr>
          <w:sz w:val="28"/>
          <w:szCs w:val="28"/>
        </w:rPr>
        <w:t>Будаговского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A3505B">
        <w:rPr>
          <w:rFonts w:ascii="Times New Roman" w:hAnsi="Times New Roman" w:cs="Times New Roman"/>
          <w:i/>
          <w:sz w:val="28"/>
          <w:szCs w:val="28"/>
        </w:rPr>
        <w:t>Будаговского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A3505B">
        <w:rPr>
          <w:sz w:val="28"/>
          <w:szCs w:val="28"/>
        </w:rPr>
        <w:t>Будаговского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A3505B">
        <w:rPr>
          <w:rFonts w:ascii="Times New Roman" w:hAnsi="Times New Roman" w:cs="Times New Roman"/>
          <w:i/>
          <w:sz w:val="28"/>
          <w:szCs w:val="28"/>
        </w:rPr>
        <w:t>Будаговского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A3505B">
        <w:rPr>
          <w:rFonts w:ascii="Times New Roman" w:hAnsi="Times New Roman" w:cs="Times New Roman"/>
          <w:i/>
          <w:sz w:val="28"/>
          <w:szCs w:val="28"/>
        </w:rPr>
        <w:t>Будаговского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A3505B">
        <w:rPr>
          <w:rFonts w:ascii="Times New Roman" w:hAnsi="Times New Roman" w:cs="Times New Roman"/>
          <w:sz w:val="28"/>
          <w:szCs w:val="28"/>
        </w:rPr>
        <w:t>Будаговского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A3505B">
        <w:rPr>
          <w:rFonts w:ascii="Times New Roman" w:hAnsi="Times New Roman" w:cs="Times New Roman"/>
          <w:sz w:val="28"/>
          <w:szCs w:val="28"/>
        </w:rPr>
        <w:t>Будаговского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A3505B">
        <w:rPr>
          <w:rFonts w:ascii="Times New Roman" w:hAnsi="Times New Roman" w:cs="Times New Roman"/>
          <w:sz w:val="28"/>
          <w:szCs w:val="28"/>
        </w:rPr>
        <w:t>Будаговского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A3505B">
        <w:rPr>
          <w:rFonts w:ascii="Times New Roman" w:hAnsi="Times New Roman" w:cs="Times New Roman"/>
          <w:sz w:val="28"/>
          <w:szCs w:val="28"/>
        </w:rPr>
        <w:t>Будаговского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A3505B">
        <w:rPr>
          <w:rFonts w:ascii="Times New Roman" w:hAnsi="Times New Roman" w:cs="Times New Roman"/>
          <w:sz w:val="28"/>
          <w:szCs w:val="28"/>
        </w:rPr>
        <w:t>Будаговского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A3505B">
        <w:rPr>
          <w:rFonts w:ascii="Times New Roman" w:hAnsi="Times New Roman" w:cs="Times New Roman"/>
          <w:sz w:val="28"/>
          <w:szCs w:val="28"/>
        </w:rPr>
        <w:t>Будаговского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A3505B">
        <w:rPr>
          <w:rFonts w:ascii="Times New Roman" w:hAnsi="Times New Roman" w:cs="Times New Roman"/>
          <w:sz w:val="28"/>
          <w:szCs w:val="28"/>
        </w:rPr>
        <w:t>Будаговского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A3505B">
        <w:rPr>
          <w:sz w:val="28"/>
          <w:szCs w:val="28"/>
        </w:rPr>
        <w:t>Будаговского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F874C7" w:rsidRDefault="00B43029" w:rsidP="000073EF">
      <w:pPr>
        <w:pStyle w:val="Default"/>
        <w:ind w:firstLine="567"/>
        <w:jc w:val="both"/>
        <w:rPr>
          <w:color w:val="000000" w:themeColor="text1"/>
          <w:sz w:val="28"/>
          <w:szCs w:val="28"/>
        </w:rPr>
      </w:pPr>
      <w:r w:rsidRPr="00BA35C9">
        <w:rPr>
          <w:sz w:val="28"/>
          <w:szCs w:val="28"/>
        </w:rPr>
        <w:t xml:space="preserve">- </w:t>
      </w:r>
      <w:r w:rsidRPr="00F874C7">
        <w:rPr>
          <w:color w:val="000000" w:themeColor="text1"/>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F874C7">
        <w:rPr>
          <w:color w:val="000000" w:themeColor="text1"/>
          <w:sz w:val="28"/>
          <w:szCs w:val="28"/>
        </w:rPr>
        <w:t>на 2022 год и плановый период 2023 и 2024</w:t>
      </w:r>
      <w:r w:rsidRPr="00F874C7">
        <w:rPr>
          <w:color w:val="000000" w:themeColor="text1"/>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F874C7">
        <w:rPr>
          <w:color w:val="000000" w:themeColor="text1"/>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F874C7">
        <w:rPr>
          <w:color w:val="000000" w:themeColor="text1"/>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A3505B">
        <w:rPr>
          <w:sz w:val="28"/>
          <w:szCs w:val="28"/>
        </w:rPr>
        <w:t>Будаговского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A3505B">
        <w:rPr>
          <w:sz w:val="28"/>
          <w:szCs w:val="28"/>
        </w:rPr>
        <w:t>Будаговского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A3505B">
        <w:rPr>
          <w:sz w:val="28"/>
          <w:szCs w:val="28"/>
        </w:rPr>
        <w:t>Будаговского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04A4"/>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05B"/>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C6177"/>
  <w15:docId w15:val="{E86A6ABC-344C-45D6-828D-4306635A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E48C-5F07-443A-BE1E-1F8612B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7</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138</cp:revision>
  <cp:lastPrinted>2021-10-14T01:05:00Z</cp:lastPrinted>
  <dcterms:created xsi:type="dcterms:W3CDTF">2016-10-06T03:23:00Z</dcterms:created>
  <dcterms:modified xsi:type="dcterms:W3CDTF">2021-10-14T01:06:00Z</dcterms:modified>
</cp:coreProperties>
</file>