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DC53DC" w:rsidP="00E6285A">
      <w:pPr>
        <w:shd w:val="clear" w:color="auto" w:fill="FFFFFF"/>
        <w:jc w:val="center"/>
      </w:pPr>
      <w:proofErr w:type="gramStart"/>
      <w:r>
        <w:rPr>
          <w:rStyle w:val="a9"/>
          <w:sz w:val="28"/>
          <w:szCs w:val="28"/>
        </w:rPr>
        <w:t>БУДАГОВСКОГО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</w:t>
      </w:r>
      <w:proofErr w:type="gramStart"/>
      <w:r>
        <w:rPr>
          <w:rStyle w:val="a9"/>
          <w:sz w:val="28"/>
          <w:szCs w:val="28"/>
        </w:rPr>
        <w:t xml:space="preserve">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proofErr w:type="gramEnd"/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DC53DC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 Будагово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/>
          <w:bCs/>
          <w:i/>
          <w:sz w:val="28"/>
          <w:szCs w:val="28"/>
        </w:rPr>
        <w:t xml:space="preserve">Будаговского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DC53DC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от __________ 2021 года </w:t>
      </w:r>
      <w:r w:rsidRPr="00E6285A">
        <w:rPr>
          <w:sz w:val="28"/>
          <w:szCs w:val="28"/>
        </w:rPr>
        <w:t>№__</w:t>
      </w:r>
      <w:r>
        <w:rPr>
          <w:sz w:val="28"/>
          <w:szCs w:val="28"/>
        </w:rPr>
        <w:t>__</w:t>
      </w:r>
      <w:r w:rsidRPr="00E6285A">
        <w:rPr>
          <w:sz w:val="28"/>
          <w:szCs w:val="28"/>
        </w:rPr>
        <w:t>__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8"/>
          <w:szCs w:val="28"/>
        </w:rPr>
        <w:t xml:space="preserve">Будаговского </w:t>
      </w:r>
      <w:r w:rsidRPr="00E6285A">
        <w:rPr>
          <w:sz w:val="28"/>
          <w:szCs w:val="28"/>
        </w:rPr>
        <w:t>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DC53DC">
        <w:rPr>
          <w:sz w:val="28"/>
          <w:szCs w:val="28"/>
        </w:rPr>
        <w:t>Будаговского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C53DC">
        <w:rPr>
          <w:color w:val="000000"/>
          <w:sz w:val="28"/>
          <w:szCs w:val="28"/>
        </w:rPr>
        <w:t>Будаговского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8"/>
          <w:szCs w:val="28"/>
        </w:rPr>
        <w:t>Будаговского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C53DC">
        <w:rPr>
          <w:sz w:val="28"/>
          <w:szCs w:val="28"/>
        </w:rPr>
        <w:t>Будаговский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C53DC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C53DC">
        <w:rPr>
          <w:sz w:val="28"/>
          <w:szCs w:val="28"/>
        </w:rPr>
        <w:t>Будаговского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DC53DC">
        <w:rPr>
          <w:sz w:val="28"/>
          <w:szCs w:val="28"/>
        </w:rPr>
        <w:t>Т.Ю.Кириенко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DC53DC" w:rsidP="00DC53DC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>Будаговского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>Будаговского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DC53DC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C53DC">
              <w:rPr>
                <w:bCs/>
                <w:sz w:val="26"/>
                <w:szCs w:val="26"/>
              </w:rPr>
              <w:t>Будаговского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DC5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>Будаговского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>Будаговского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 xml:space="preserve">Будаговского </w:t>
      </w:r>
      <w:r w:rsidR="006F666A" w:rsidRPr="006F666A">
        <w:rPr>
          <w:sz w:val="26"/>
          <w:szCs w:val="26"/>
        </w:rPr>
        <w:t xml:space="preserve">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>Будаговского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DC53DC">
              <w:rPr>
                <w:sz w:val="26"/>
                <w:szCs w:val="26"/>
              </w:rPr>
              <w:t>Будаговского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DC53DC">
              <w:rPr>
                <w:sz w:val="26"/>
                <w:szCs w:val="26"/>
              </w:rPr>
              <w:t xml:space="preserve">Будаговского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DC53DC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 xml:space="preserve">Будаговского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DC53D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>Будаговского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DC53D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>Будаговского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DC53DC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 xml:space="preserve">Будаговского </w:t>
            </w:r>
            <w:bookmarkStart w:id="0" w:name="_GoBack"/>
            <w:bookmarkEnd w:id="0"/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53DC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3ED0"/>
  <w15:docId w15:val="{D4A191B9-BC26-4810-AF43-650D4D10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E351D-C1A2-4107-8105-246172FB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5</cp:revision>
  <cp:lastPrinted>2021-09-16T08:54:00Z</cp:lastPrinted>
  <dcterms:created xsi:type="dcterms:W3CDTF">2022-09-30T03:53:00Z</dcterms:created>
  <dcterms:modified xsi:type="dcterms:W3CDTF">2022-09-30T07:37:00Z</dcterms:modified>
</cp:coreProperties>
</file>