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7" w:rsidRDefault="00506AE7" w:rsidP="00506AE7">
      <w:pPr>
        <w:jc w:val="right"/>
      </w:pPr>
      <w:r w:rsidRPr="000470CB">
        <w:rPr>
          <w:b/>
        </w:rPr>
        <w:t>Приложение № 1</w:t>
      </w:r>
      <w:r>
        <w:t xml:space="preserve">  Документ А</w: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034730" w:rsidRPr="00034730">
        <w:trPr>
          <w:trHeight w:val="254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034730" w:rsidP="00034730">
            <w:pPr>
              <w:keepNext/>
              <w:spacing w:before="60"/>
              <w:jc w:val="center"/>
              <w:outlineLvl w:val="0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ФЕДЕРАЛЬНОЕ СТАТИСТИЧЕСКОЕ НАБЛЮДЕНИЕ</w:t>
            </w:r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034730" w:rsidRPr="00034730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</w:t>
            </w:r>
            <w:r w:rsidRPr="00034730">
              <w:rPr>
                <w:sz w:val="20"/>
              </w:rPr>
              <w:br/>
              <w:t xml:space="preserve">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  <w:bookmarkStart w:id="0" w:name="_GoBack"/>
        <w:bookmarkEnd w:id="0"/>
      </w:tr>
    </w:tbl>
    <w:p w:rsidR="00034730" w:rsidRPr="00034730" w:rsidRDefault="00034730" w:rsidP="00034730">
      <w:pPr>
        <w:rPr>
          <w:color w:val="000000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034730" w:rsidRPr="0003473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034730" w:rsidP="00034730">
            <w:pPr>
              <w:keepNext/>
              <w:jc w:val="center"/>
              <w:outlineLvl w:val="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ВОЗМОЖНО ПРЕДОСТАВЛЕНИЕ В ЭЛЕКТРОННОМ ВИДЕ</w:t>
            </w:r>
          </w:p>
        </w:tc>
      </w:tr>
    </w:tbl>
    <w:p w:rsidR="00034730" w:rsidRPr="00034730" w:rsidRDefault="002C5BD9" w:rsidP="00034730">
      <w:pPr>
        <w:rPr>
          <w:color w:val="000000"/>
          <w:sz w:val="20"/>
        </w:rPr>
      </w:pPr>
      <w:r>
        <w:rPr>
          <w:noProof/>
        </w:rPr>
        <w:pict>
          <v:rect id="Rectangle 2" o:spid="_x0000_s1035" style="position:absolute;margin-left:7.7pt;margin-top:.95pt;width:727.45pt;height:203.6pt;z-index:-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N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BdUHoNsgIAALgFAAAO&#10;AAAAAAAAAAAAAAAAAC4CAABkcnMvZTJvRG9jLnhtbFBLAQItABQABgAIAAAAIQCVzyVg3gAAAAkB&#10;AAAPAAAAAAAAAAAAAAAAAAwFAABkcnMvZG93bnJldi54bWxQSwUGAAAAAAQABADzAAAAFwYAAAAA&#10;" o:allowincell="f" filled="f" stroked="f">
            <v:textbox inset="1pt,1pt,1pt,1pt">
              <w:txbxContent>
                <w:p w:rsidR="00034730" w:rsidRDefault="00034730" w:rsidP="00034730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034730" w:rsidRPr="00034730">
        <w:tc>
          <w:tcPr>
            <w:tcW w:w="2691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34730" w:rsidRPr="00034730" w:rsidRDefault="002C5BD9" w:rsidP="00034730">
            <w:pPr>
              <w:spacing w:after="60"/>
              <w:jc w:val="center"/>
              <w:rPr>
                <w:color w:val="000000"/>
                <w:sz w:val="16"/>
              </w:rPr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 w:rsidR="00034730" w:rsidRPr="00034730">
              <w:rPr>
                <w:color w:val="000000"/>
                <w:sz w:val="20"/>
              </w:rPr>
              <w:t xml:space="preserve"> </w:t>
            </w: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 w:rsidR="00034730" w:rsidRPr="00034730">
              <w:rPr>
                <w:color w:val="000000"/>
                <w:sz w:val="20"/>
              </w:rPr>
              <w:t xml:space="preserve">СВЕДЕНИЯ ОБ АВТОМОБИЛЬНЫХ ДОРОГАХ </w:t>
            </w:r>
            <w:r w:rsidR="00034730" w:rsidRPr="00034730">
              <w:rPr>
                <w:color w:val="000000"/>
                <w:sz w:val="20"/>
                <w:lang w:val="ru-MD"/>
              </w:rPr>
              <w:t xml:space="preserve"> ОБЩЕГО  ПОЛЬЗОВАНИЯ </w:t>
            </w:r>
            <w:r w:rsidR="00034730" w:rsidRPr="00034730">
              <w:rPr>
                <w:color w:val="000000"/>
                <w:sz w:val="20"/>
              </w:rPr>
              <w:br/>
              <w:t>МЕСТНОГО ЗНАЧЕНИЯ И ИСКУССТВЕННЫХ СООРУЖЕНИЯХ НА НИ</w:t>
            </w:r>
            <w:r w:rsidR="00DB4431">
              <w:rPr>
                <w:color w:val="000000"/>
                <w:sz w:val="20"/>
              </w:rPr>
              <w:t>Х</w:t>
            </w:r>
            <w:r w:rsidR="00DB4431">
              <w:rPr>
                <w:color w:val="000000"/>
                <w:sz w:val="20"/>
              </w:rPr>
              <w:br/>
              <w:t>по состоянию на 1 января 2021</w:t>
            </w:r>
            <w:r w:rsidR="00034730" w:rsidRPr="00034730">
              <w:rPr>
                <w:color w:val="000000"/>
                <w:sz w:val="20"/>
              </w:rPr>
              <w:t xml:space="preserve">  г. </w: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2C5BD9" w:rsidP="00034730">
      <w:pPr>
        <w:spacing w:line="540" w:lineRule="exact"/>
        <w:rPr>
          <w:color w:val="000000"/>
          <w:sz w:val="20"/>
        </w:rPr>
      </w:pPr>
      <w:r>
        <w:rPr>
          <w:noProof/>
        </w:rPr>
        <w:pict>
          <v:rect id="Rectangle 5" o:spid="_x0000_s1034" style="position:absolute;margin-left:594.55pt;margin-top:24.8pt;width:117.5pt;height:16.55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034730" w:rsidRPr="00034730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83" w:type="dxa"/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 xml:space="preserve"> Форма № 3-ДГ (мо)</w:t>
            </w:r>
          </w:p>
        </w:tc>
      </w:tr>
      <w:tr w:rsidR="00034730" w:rsidRPr="0003473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2C5BD9" w:rsidP="00034730">
            <w:pPr>
              <w:spacing w:line="180" w:lineRule="exact"/>
              <w:rPr>
                <w:color w:val="000000"/>
                <w:sz w:val="20"/>
              </w:rPr>
            </w:pPr>
            <w:r>
              <w:rPr>
                <w:noProof/>
              </w:rPr>
              <w:pict>
                <v:rect id="Rectangle 4" o:spid="_x0000_s1033" style="position:absolute;margin-left:598.75pt;margin-top:80.15pt;width:115.25pt;height:17.9pt;z-index:-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WD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" o:allowincell="f" fillcolor="#f2f2f2" strokeweight="1.25pt"/>
              </w:pict>
            </w:r>
            <w:r w:rsidR="00034730" w:rsidRPr="00034730">
              <w:rPr>
                <w:color w:val="000000"/>
                <w:sz w:val="20"/>
              </w:rPr>
              <w:t>органы местного самоуправления муниципальных образований:</w:t>
            </w:r>
          </w:p>
          <w:p w:rsidR="00034730" w:rsidRPr="00034730" w:rsidRDefault="00034730" w:rsidP="00034730">
            <w:pPr>
              <w:spacing w:before="60" w:line="180" w:lineRule="exact"/>
              <w:ind w:left="284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– территориальному органу Росстата в субъекте Российской Федерации </w:t>
            </w:r>
            <w:r w:rsidRPr="00034730">
              <w:rPr>
                <w:color w:val="000000"/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before="40" w:line="1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15 февраля</w:t>
            </w:r>
          </w:p>
        </w:tc>
        <w:tc>
          <w:tcPr>
            <w:tcW w:w="202" w:type="dxa"/>
          </w:tcPr>
          <w:p w:rsidR="00034730" w:rsidRPr="00034730" w:rsidRDefault="00034730" w:rsidP="00034730">
            <w:pPr>
              <w:spacing w:line="180" w:lineRule="exact"/>
              <w:rPr>
                <w:color w:val="000000"/>
                <w:sz w:val="20"/>
              </w:rPr>
            </w:pPr>
          </w:p>
        </w:tc>
        <w:tc>
          <w:tcPr>
            <w:tcW w:w="3483" w:type="dxa"/>
          </w:tcPr>
          <w:p w:rsidR="00034730" w:rsidRPr="00155DFA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Приказ Росстата: </w:t>
            </w:r>
            <w:r w:rsidRPr="00034730">
              <w:rPr>
                <w:color w:val="000000"/>
                <w:sz w:val="20"/>
              </w:rPr>
              <w:br/>
              <w:t>Об утве</w:t>
            </w:r>
            <w:r w:rsidR="00155DFA">
              <w:rPr>
                <w:color w:val="000000"/>
                <w:sz w:val="20"/>
              </w:rPr>
              <w:t>рждении формы</w:t>
            </w:r>
            <w:r w:rsidR="00155DFA">
              <w:rPr>
                <w:color w:val="000000"/>
                <w:sz w:val="20"/>
              </w:rPr>
              <w:br/>
              <w:t xml:space="preserve">от </w:t>
            </w:r>
            <w:r w:rsidR="00155DFA" w:rsidRPr="00155DFA">
              <w:rPr>
                <w:color w:val="000000"/>
                <w:sz w:val="20"/>
              </w:rPr>
              <w:t>22.07.</w:t>
            </w:r>
            <w:r w:rsidR="00155DFA" w:rsidRPr="00506AE7">
              <w:rPr>
                <w:color w:val="000000"/>
                <w:sz w:val="20"/>
              </w:rPr>
              <w:t>2019</w:t>
            </w:r>
            <w:r w:rsidR="00155DFA">
              <w:rPr>
                <w:color w:val="000000"/>
                <w:sz w:val="20"/>
              </w:rPr>
              <w:t xml:space="preserve"> № </w:t>
            </w:r>
            <w:r w:rsidR="00155DFA" w:rsidRPr="00155DFA">
              <w:rPr>
                <w:color w:val="000000"/>
                <w:sz w:val="20"/>
              </w:rPr>
              <w:t>418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 внесении изменений (при наличии)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от __________ № ___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от __________ № ___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</w:p>
          <w:p w:rsidR="00034730" w:rsidRPr="00034730" w:rsidRDefault="002C5BD9" w:rsidP="00034730">
            <w:pPr>
              <w:jc w:val="center"/>
              <w:rPr>
                <w:color w:val="000000"/>
                <w:sz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034730" w:rsidRPr="00034730">
              <w:rPr>
                <w:color w:val="000000"/>
                <w:sz w:val="20"/>
              </w:rPr>
              <w:t xml:space="preserve"> Годовая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034730" w:rsidRPr="00034730" w:rsidRDefault="00034730" w:rsidP="00034730">
      <w:pPr>
        <w:rPr>
          <w:color w:val="000000"/>
          <w:sz w:val="20"/>
        </w:rPr>
      </w:pPr>
    </w:p>
    <w:p w:rsidR="00034730" w:rsidRPr="00034730" w:rsidRDefault="00034730" w:rsidP="00034730">
      <w:pPr>
        <w:rPr>
          <w:color w:val="000000"/>
          <w:sz w:val="20"/>
        </w:rPr>
      </w:pPr>
    </w:p>
    <w:p w:rsidR="00034730" w:rsidRPr="00034730" w:rsidRDefault="002C5BD9" w:rsidP="00034730">
      <w:pPr>
        <w:rPr>
          <w:color w:val="000000"/>
          <w:sz w:val="20"/>
        </w:rPr>
      </w:pPr>
      <w:r>
        <w:rPr>
          <w:noProof/>
        </w:rPr>
        <w:pict>
          <v:rect id="Rectangle 3" o:spid="_x0000_s1032" style="position:absolute;margin-left:7.9pt;margin-top:1.9pt;width:734.45pt;height:201.7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/krg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" o:allowincell="f" filled="f" stroked="f">
            <v:textbox inset="1pt,1pt,1pt,1pt">
              <w:txbxContent>
                <w:p w:rsidR="00034730" w:rsidRDefault="00034730" w:rsidP="00034730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034730" w:rsidRPr="0003473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before="120" w:after="80" w:line="1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Наименование отчитывающейся организации</w:t>
            </w:r>
            <w:r w:rsidRPr="00034730">
              <w:rPr>
                <w:color w:val="000000"/>
                <w:sz w:val="20"/>
              </w:rPr>
              <w:t xml:space="preserve"> </w:t>
            </w:r>
            <w:r w:rsidR="00DB4431" w:rsidRPr="00DB4431">
              <w:rPr>
                <w:color w:val="000000"/>
                <w:sz w:val="20"/>
              </w:rPr>
              <w:t>Администрация Будаговского сельского поселения Тулунского района Иркутской области</w:t>
            </w:r>
          </w:p>
        </w:tc>
      </w:tr>
      <w:tr w:rsidR="00034730" w:rsidRPr="00034730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before="120" w:after="80" w:line="1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Почтовый адрес</w:t>
            </w:r>
            <w:r w:rsidR="00DB4431">
              <w:rPr>
                <w:color w:val="000000"/>
                <w:sz w:val="20"/>
              </w:rPr>
              <w:t xml:space="preserve"> </w:t>
            </w:r>
            <w:r w:rsidR="00DB4431" w:rsidRPr="00DB4431">
              <w:rPr>
                <w:color w:val="000000"/>
                <w:sz w:val="20"/>
              </w:rPr>
              <w:t>665236 Иркутская область Тулунский район с. Будагово, ул. Ленина, 60</w:t>
            </w:r>
          </w:p>
        </w:tc>
      </w:tr>
      <w:tr w:rsidR="00034730" w:rsidRPr="0003473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4730" w:rsidRPr="00034730" w:rsidRDefault="00034730" w:rsidP="00034730">
            <w:pPr>
              <w:spacing w:before="240" w:line="1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34730" w:rsidRPr="00034730" w:rsidRDefault="00034730" w:rsidP="00034730">
            <w:pPr>
              <w:spacing w:before="120" w:after="120" w:line="1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Код</w:t>
            </w:r>
          </w:p>
        </w:tc>
      </w:tr>
      <w:tr w:rsidR="00034730" w:rsidRPr="00034730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формы </w:t>
            </w:r>
          </w:p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отчитывающейся организации </w:t>
            </w:r>
            <w:r w:rsidRPr="00034730">
              <w:rPr>
                <w:color w:val="000000"/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0" w:rsidRPr="00034730" w:rsidRDefault="00034730" w:rsidP="00034730">
            <w:pPr>
              <w:spacing w:line="180" w:lineRule="atLeas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</w:tr>
      <w:tr w:rsidR="00DB4431" w:rsidRPr="00034730" w:rsidTr="00DE13A0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31" w:rsidRPr="00034730" w:rsidRDefault="00DB4431" w:rsidP="00DB4431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0615068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431" w:rsidRDefault="00DB4431" w:rsidP="00DB44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04147993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31" w:rsidRPr="00034730" w:rsidRDefault="00DB4431" w:rsidP="00DB4431">
            <w:pPr>
              <w:rPr>
                <w:color w:val="000000"/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431" w:rsidRPr="00034730" w:rsidRDefault="00DB4431" w:rsidP="00DB4431">
            <w:pPr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spacing w:after="60" w:line="240" w:lineRule="exact"/>
        <w:jc w:val="center"/>
        <w:rPr>
          <w:b/>
          <w:color w:val="000000"/>
          <w:lang w:val="ru-MD"/>
        </w:rPr>
      </w:pPr>
      <w:r w:rsidRPr="00034730">
        <w:rPr>
          <w:b/>
          <w:color w:val="000000"/>
        </w:rPr>
        <w:br w:type="page"/>
      </w:r>
      <w:r w:rsidRPr="00034730">
        <w:rPr>
          <w:b/>
          <w:color w:val="000000"/>
        </w:rPr>
        <w:lastRenderedPageBreak/>
        <w:t>Раздел 1. Протяженность автомобильных дорог общего пользования местного значения</w:t>
      </w:r>
    </w:p>
    <w:p w:rsidR="00034730" w:rsidRPr="00034730" w:rsidRDefault="00034730" w:rsidP="00034730">
      <w:pPr>
        <w:spacing w:line="240" w:lineRule="exact"/>
        <w:jc w:val="center"/>
        <w:rPr>
          <w:color w:val="000000"/>
          <w:sz w:val="20"/>
        </w:rPr>
      </w:pPr>
      <w:r w:rsidRPr="00034730"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64"/>
        <w:gridCol w:w="2268"/>
        <w:gridCol w:w="2509"/>
      </w:tblGrid>
      <w:tr w:rsidR="00034730" w:rsidRPr="00034730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 xml:space="preserve">№ </w:t>
            </w:r>
          </w:p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Единица</w:t>
            </w:r>
            <w:r w:rsidRPr="00034730">
              <w:rPr>
                <w:color w:val="000000"/>
                <w:sz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tabs>
                <w:tab w:val="left" w:pos="1267"/>
              </w:tabs>
              <w:jc w:val="center"/>
              <w:rPr>
                <w:color w:val="000000"/>
                <w:spacing w:val="-4"/>
                <w:sz w:val="20"/>
              </w:rPr>
            </w:pPr>
            <w:r w:rsidRPr="00034730">
              <w:rPr>
                <w:color w:val="000000"/>
                <w:spacing w:val="-4"/>
                <w:sz w:val="20"/>
              </w:rPr>
              <w:t xml:space="preserve">Наличие на начало </w:t>
            </w:r>
            <w:r w:rsidRPr="00034730">
              <w:rPr>
                <w:color w:val="000000"/>
                <w:spacing w:val="-4"/>
                <w:sz w:val="20"/>
                <w:lang w:val="ru-MD"/>
              </w:rPr>
              <w:br/>
            </w:r>
            <w:r w:rsidRPr="00034730">
              <w:rPr>
                <w:color w:val="000000"/>
                <w:spacing w:val="-4"/>
                <w:sz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jc w:val="center"/>
              <w:rPr>
                <w:color w:val="000000"/>
                <w:spacing w:val="-4"/>
                <w:sz w:val="20"/>
              </w:rPr>
            </w:pPr>
            <w:r w:rsidRPr="00034730">
              <w:rPr>
                <w:color w:val="000000"/>
                <w:spacing w:val="-4"/>
                <w:sz w:val="20"/>
              </w:rPr>
              <w:t xml:space="preserve">Наличие  на конец </w:t>
            </w:r>
            <w:r w:rsidRPr="00034730">
              <w:rPr>
                <w:color w:val="000000"/>
                <w:spacing w:val="-4"/>
                <w:sz w:val="20"/>
                <w:lang w:val="ru-MD"/>
              </w:rPr>
              <w:br/>
            </w:r>
            <w:r w:rsidRPr="00034730">
              <w:rPr>
                <w:color w:val="000000"/>
                <w:spacing w:val="-4"/>
                <w:sz w:val="20"/>
              </w:rPr>
              <w:t>отчетного года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32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DB4431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1.1</w:t>
            </w:r>
            <w:r w:rsidRPr="00034730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034730">
              <w:rPr>
                <w:b/>
                <w:color w:val="000000"/>
                <w:sz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35,129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35,129</w:t>
            </w:r>
          </w:p>
        </w:tc>
      </w:tr>
      <w:tr w:rsidR="00DB4431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ind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</w:t>
            </w:r>
            <w:r w:rsidRPr="00034730">
              <w:rPr>
                <w:color w:val="000000"/>
                <w:sz w:val="20"/>
                <w:lang w:val="ru-MD"/>
              </w:rPr>
              <w:t xml:space="preserve"> </w:t>
            </w:r>
            <w:r w:rsidRPr="00034730">
              <w:rPr>
                <w:color w:val="000000"/>
                <w:sz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ind w:left="720" w:firstLine="4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DB4431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Из строки 101 –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35,129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35,129</w:t>
            </w:r>
          </w:p>
        </w:tc>
      </w:tr>
      <w:tr w:rsidR="00DB4431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ind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с твердым покрытием</w:t>
            </w:r>
            <w:r w:rsidRPr="00034730">
              <w:rPr>
                <w:color w:val="000000"/>
                <w:sz w:val="20"/>
              </w:rPr>
              <w:br/>
              <w:t xml:space="preserve">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1" w:rsidRPr="00034730" w:rsidRDefault="00DB4431" w:rsidP="00DB4431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Из строки 101 – протяженность дорог с твердым покрытием и грунтовых дорог, не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1.2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ind w:left="516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с применением   самоходных плавсредств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1.3</w:t>
            </w:r>
            <w:r w:rsidRPr="00034730">
              <w:rPr>
                <w:b/>
                <w:noProof/>
                <w:color w:val="000000"/>
                <w:sz w:val="20"/>
                <w:lang w:val="en-US"/>
              </w:rPr>
              <w:t xml:space="preserve"> </w:t>
            </w:r>
            <w:r w:rsidRPr="00034730">
              <w:rPr>
                <w:b/>
                <w:noProof/>
                <w:color w:val="000000"/>
                <w:sz w:val="20"/>
              </w:rPr>
              <w:t xml:space="preserve">Автозимники и ледовые </w:t>
            </w:r>
          </w:p>
          <w:p w:rsidR="00034730" w:rsidRPr="00034730" w:rsidRDefault="00034730" w:rsidP="00034730">
            <w:pPr>
              <w:spacing w:line="26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ind w:left="516" w:hanging="516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        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ind w:left="720" w:firstLine="499"/>
        <w:rPr>
          <w:color w:val="000000"/>
          <w:sz w:val="20"/>
        </w:rPr>
      </w:pPr>
      <w:r w:rsidRPr="00034730">
        <w:rPr>
          <w:color w:val="000000"/>
          <w:sz w:val="20"/>
        </w:rPr>
        <w:t xml:space="preserve">               </w:t>
      </w:r>
      <w:r w:rsidRPr="00034730">
        <w:rPr>
          <w:b/>
          <w:color w:val="000000"/>
          <w:sz w:val="20"/>
        </w:rPr>
        <w:t xml:space="preserve"> </w:t>
      </w:r>
    </w:p>
    <w:p w:rsidR="00034730" w:rsidRPr="00034730" w:rsidRDefault="00034730" w:rsidP="00034730">
      <w:pPr>
        <w:tabs>
          <w:tab w:val="center" w:pos="4536"/>
          <w:tab w:val="right" w:pos="9072"/>
        </w:tabs>
        <w:ind w:left="720" w:firstLine="499"/>
        <w:rPr>
          <w:color w:val="000000"/>
          <w:sz w:val="20"/>
        </w:rPr>
      </w:pPr>
    </w:p>
    <w:p w:rsidR="00034730" w:rsidRPr="00034730" w:rsidRDefault="00034730" w:rsidP="00034730">
      <w:pPr>
        <w:ind w:firstLine="499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  <w:szCs w:val="24"/>
          <w:lang w:val="en-US"/>
        </w:rPr>
      </w:pPr>
    </w:p>
    <w:p w:rsidR="00034730" w:rsidRPr="00034730" w:rsidRDefault="00034730" w:rsidP="00034730">
      <w:pPr>
        <w:spacing w:line="240" w:lineRule="exact"/>
        <w:jc w:val="center"/>
        <w:rPr>
          <w:b/>
          <w:color w:val="000000"/>
        </w:rPr>
      </w:pPr>
      <w:r w:rsidRPr="00034730">
        <w:rPr>
          <w:b/>
          <w:color w:val="000000"/>
        </w:rPr>
        <w:lastRenderedPageBreak/>
        <w:t xml:space="preserve">Раздел 2. Наличие и протяженность искусственных сооружений на автомобильных дорогах </w:t>
      </w:r>
      <w:r w:rsidRPr="00034730">
        <w:rPr>
          <w:b/>
          <w:color w:val="000000"/>
        </w:rPr>
        <w:br/>
        <w:t>общего пользования местного значения</w:t>
      </w:r>
    </w:p>
    <w:p w:rsidR="00034730" w:rsidRPr="00034730" w:rsidRDefault="00034730" w:rsidP="00034730">
      <w:pPr>
        <w:spacing w:line="240" w:lineRule="exact"/>
        <w:ind w:right="794"/>
        <w:jc w:val="right"/>
        <w:rPr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03"/>
        <w:gridCol w:w="1704"/>
        <w:gridCol w:w="2977"/>
        <w:gridCol w:w="2977"/>
      </w:tblGrid>
      <w:tr w:rsidR="00034730" w:rsidRPr="00034730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№ </w:t>
            </w:r>
            <w:r w:rsidRPr="00034730">
              <w:rPr>
                <w:color w:val="000000"/>
                <w:sz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Единица</w:t>
            </w:r>
            <w:r w:rsidRPr="00034730">
              <w:rPr>
                <w:color w:val="000000"/>
                <w:sz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ind w:left="119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Наличие на начало</w:t>
            </w:r>
            <w:r w:rsidRPr="00034730">
              <w:rPr>
                <w:color w:val="000000"/>
                <w:sz w:val="20"/>
              </w:rPr>
              <w:br/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ind w:left="119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Наличие на конец</w:t>
            </w:r>
            <w:r w:rsidRPr="00034730">
              <w:rPr>
                <w:color w:val="000000"/>
                <w:sz w:val="20"/>
              </w:rPr>
              <w:br/>
              <w:t>отчетного года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2.1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ind w:left="340"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них:</w:t>
            </w:r>
            <w:r w:rsidRPr="00034730">
              <w:rPr>
                <w:color w:val="000000"/>
                <w:sz w:val="20"/>
              </w:rPr>
              <w:br/>
            </w:r>
            <w:r w:rsidRPr="00034730">
              <w:rPr>
                <w:color w:val="000000"/>
                <w:sz w:val="20"/>
                <w:lang w:val="ru-MD"/>
              </w:rPr>
              <w:t xml:space="preserve">    </w:t>
            </w:r>
            <w:r w:rsidRPr="00034730">
              <w:rPr>
                <w:color w:val="000000"/>
                <w:sz w:val="20"/>
              </w:rPr>
              <w:t>капитальные – всего</w:t>
            </w:r>
            <w:r w:rsidRPr="00034730">
              <w:rPr>
                <w:color w:val="000000"/>
                <w:sz w:val="20"/>
              </w:rPr>
              <w:br/>
            </w:r>
            <w:r w:rsidRPr="00034730">
              <w:rPr>
                <w:noProof/>
                <w:color w:val="000000"/>
                <w:sz w:val="20"/>
              </w:rPr>
              <w:t xml:space="preserve">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ind w:left="567" w:firstLine="499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числе:</w:t>
            </w:r>
            <w:r w:rsidRPr="00034730">
              <w:rPr>
                <w:color w:val="000000"/>
                <w:sz w:val="20"/>
              </w:rPr>
              <w:br/>
              <w:t xml:space="preserve">   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 xml:space="preserve">               </w:t>
            </w:r>
            <w:r w:rsidRPr="00034730">
              <w:rPr>
                <w:color w:val="000000"/>
                <w:sz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ind w:left="750" w:hanging="75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строки 203 – мосты, путепроводы и эстакады, находящиеся: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аварийном состоянии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Из строки 204 – мосты, путепроводы и эстакады, находящиеся: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аварийном состоянии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    в предаварийном состоянии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</w:pPr>
            <w:r w:rsidRPr="00034730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>2.2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noProof/>
                <w:color w:val="000000"/>
                <w:sz w:val="20"/>
              </w:rPr>
            </w:pPr>
            <w:r w:rsidRPr="00034730">
              <w:rPr>
                <w:b/>
                <w:noProof/>
                <w:color w:val="000000"/>
                <w:sz w:val="20"/>
              </w:rPr>
              <w:t xml:space="preserve">2.3 Пешеходные переходы в разных </w:t>
            </w:r>
            <w:r w:rsidRPr="00034730">
              <w:rPr>
                <w:b/>
                <w:noProof/>
                <w:color w:val="000000"/>
                <w:sz w:val="20"/>
              </w:rPr>
              <w:br/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DB4431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DB4431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2.4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21</w:t>
            </w:r>
            <w:r w:rsidRPr="00034730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  из них капитальные (железобетонные, </w:t>
            </w:r>
            <w:r w:rsidRPr="00034730">
              <w:rPr>
                <w:color w:val="000000"/>
                <w:sz w:val="20"/>
              </w:rPr>
              <w:br/>
              <w:t xml:space="preserve">           бетонные и каменные, металлические)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b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пог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rPr>
                <w:color w:val="000000"/>
                <w:sz w:val="20"/>
              </w:rPr>
            </w:pPr>
            <w:r w:rsidRPr="00034730">
              <w:rPr>
                <w:b/>
                <w:color w:val="000000"/>
                <w:sz w:val="20"/>
              </w:rPr>
              <w:t>2.5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</w:rPr>
              <w:t>2</w:t>
            </w:r>
            <w:r w:rsidRPr="00034730">
              <w:rPr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ind w:left="840"/>
        <w:rPr>
          <w:color w:val="000000"/>
          <w:sz w:val="20"/>
        </w:rPr>
      </w:pPr>
    </w:p>
    <w:p w:rsidR="00034730" w:rsidRPr="00034730" w:rsidRDefault="00034730" w:rsidP="00034730">
      <w:pPr>
        <w:keepNext/>
        <w:ind w:left="119" w:firstLine="499"/>
        <w:jc w:val="center"/>
        <w:outlineLvl w:val="1"/>
        <w:rPr>
          <w:b/>
          <w:color w:val="000000"/>
        </w:rPr>
      </w:pPr>
      <w:r w:rsidRPr="00034730">
        <w:rPr>
          <w:b/>
          <w:color w:val="000000"/>
        </w:rPr>
        <w:br w:type="page"/>
      </w:r>
      <w:r w:rsidRPr="00034730">
        <w:rPr>
          <w:b/>
          <w:color w:val="000000"/>
        </w:rPr>
        <w:lastRenderedPageBreak/>
        <w:t>Раздел</w:t>
      </w:r>
      <w:r w:rsidRPr="00034730">
        <w:rPr>
          <w:b/>
          <w:color w:val="000000"/>
          <w:lang w:val="ru-MD"/>
        </w:rPr>
        <w:t xml:space="preserve"> </w:t>
      </w:r>
      <w:r w:rsidRPr="00034730">
        <w:rPr>
          <w:b/>
          <w:color w:val="000000"/>
        </w:rPr>
        <w:t>3</w:t>
      </w:r>
      <w:r w:rsidRPr="00034730">
        <w:rPr>
          <w:b/>
          <w:color w:val="000000"/>
          <w:lang w:val="ru-MD"/>
        </w:rPr>
        <w:t xml:space="preserve">. </w:t>
      </w:r>
      <w:r w:rsidRPr="00034730">
        <w:rPr>
          <w:b/>
          <w:color w:val="000000"/>
        </w:rPr>
        <w:t>Основные сооружения и оборудование, повышающие безопасность дорожного движения</w:t>
      </w:r>
    </w:p>
    <w:p w:rsidR="00034730" w:rsidRPr="00034730" w:rsidRDefault="00034730" w:rsidP="00034730">
      <w:pPr>
        <w:spacing w:after="120"/>
        <w:ind w:left="119" w:firstLine="499"/>
        <w:jc w:val="center"/>
        <w:rPr>
          <w:b/>
          <w:color w:val="000000"/>
          <w:szCs w:val="24"/>
        </w:rPr>
      </w:pPr>
      <w:r w:rsidRPr="00034730">
        <w:rPr>
          <w:b/>
          <w:color w:val="000000"/>
        </w:rPr>
        <w:t>на автомобильных дорогах общего пользования местного значения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71"/>
        <w:gridCol w:w="6"/>
        <w:gridCol w:w="1379"/>
        <w:gridCol w:w="11"/>
        <w:gridCol w:w="2257"/>
        <w:gridCol w:w="11"/>
        <w:gridCol w:w="2242"/>
        <w:gridCol w:w="10"/>
      </w:tblGrid>
      <w:tr w:rsidR="00034730" w:rsidRPr="00034730">
        <w:trPr>
          <w:gridAfter w:val="1"/>
          <w:wAfter w:w="10" w:type="dxa"/>
          <w:cantSplit/>
          <w:trHeight w:val="78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№ </w:t>
            </w:r>
            <w:r w:rsidRPr="00034730">
              <w:rPr>
                <w:noProof/>
                <w:color w:val="000000"/>
                <w:sz w:val="20"/>
              </w:rPr>
              <w:br/>
              <w:t>строки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начало отчетного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конец отчетного года</w:t>
            </w: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6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Автобусные остановки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DB4431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DB4431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  <w:lang w:val="en-US"/>
              </w:rPr>
              <w:t>3</w:t>
            </w:r>
            <w:r w:rsidRPr="00034730">
              <w:rPr>
                <w:color w:val="000000"/>
                <w:sz w:val="20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ind w:left="340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  <w:lang w:val="en-US"/>
              </w:rPr>
            </w:pPr>
            <w:r w:rsidRPr="00034730">
              <w:rPr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6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tabs>
          <w:tab w:val="left" w:pos="708"/>
          <w:tab w:val="center" w:pos="4536"/>
          <w:tab w:val="right" w:pos="9072"/>
        </w:tabs>
        <w:ind w:left="340"/>
        <w:rPr>
          <w:color w:val="000000"/>
          <w:sz w:val="8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Cs w:val="24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en-US"/>
        </w:rPr>
      </w:pP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22"/>
          <w:szCs w:val="22"/>
          <w:lang w:val="ru-MD"/>
        </w:rPr>
      </w:pPr>
      <w:r w:rsidRPr="00034730">
        <w:rPr>
          <w:b/>
          <w:color w:val="000000"/>
          <w:sz w:val="22"/>
          <w:szCs w:val="22"/>
        </w:rPr>
        <w:lastRenderedPageBreak/>
        <w:t>Раздел</w:t>
      </w:r>
      <w:r w:rsidRPr="00034730">
        <w:rPr>
          <w:b/>
          <w:color w:val="000000"/>
          <w:sz w:val="22"/>
          <w:szCs w:val="22"/>
          <w:lang w:val="ru-MD"/>
        </w:rPr>
        <w:t xml:space="preserve"> </w:t>
      </w:r>
      <w:r w:rsidRPr="00034730">
        <w:rPr>
          <w:b/>
          <w:color w:val="000000"/>
          <w:sz w:val="22"/>
          <w:szCs w:val="22"/>
        </w:rPr>
        <w:t>4</w:t>
      </w:r>
      <w:r w:rsidRPr="00034730">
        <w:rPr>
          <w:b/>
          <w:color w:val="000000"/>
          <w:sz w:val="22"/>
          <w:szCs w:val="22"/>
          <w:lang w:val="ru-MD"/>
        </w:rPr>
        <w:t>. Объекты автогазозаправочной инфраструктуры на автомобильных дорогах общего пользования местного значения</w:t>
      </w:r>
    </w:p>
    <w:p w:rsidR="00034730" w:rsidRPr="00034730" w:rsidRDefault="00034730" w:rsidP="00034730">
      <w:pPr>
        <w:spacing w:line="240" w:lineRule="exact"/>
        <w:ind w:left="119" w:firstLine="499"/>
        <w:jc w:val="center"/>
        <w:rPr>
          <w:b/>
          <w:color w:val="000000"/>
          <w:sz w:val="4"/>
          <w:szCs w:val="4"/>
        </w:rPr>
      </w:pPr>
    </w:p>
    <w:p w:rsidR="00034730" w:rsidRPr="00034730" w:rsidRDefault="00034730" w:rsidP="00034730">
      <w:pPr>
        <w:rPr>
          <w:color w:val="000000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592"/>
        <w:gridCol w:w="6"/>
        <w:gridCol w:w="986"/>
        <w:gridCol w:w="6"/>
        <w:gridCol w:w="1554"/>
        <w:gridCol w:w="6"/>
        <w:gridCol w:w="2205"/>
        <w:gridCol w:w="6"/>
        <w:gridCol w:w="2182"/>
        <w:gridCol w:w="9"/>
      </w:tblGrid>
      <w:tr w:rsidR="00034730" w:rsidRPr="00034730">
        <w:trPr>
          <w:gridAfter w:val="1"/>
          <w:wAfter w:w="9" w:type="dxa"/>
          <w:cantSplit/>
          <w:trHeight w:val="780"/>
          <w:jc w:val="center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 xml:space="preserve">№ </w:t>
            </w:r>
            <w:r w:rsidRPr="00034730">
              <w:rPr>
                <w:noProof/>
                <w:color w:val="000000"/>
                <w:sz w:val="20"/>
              </w:rPr>
              <w:br/>
              <w:t>строки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Единица измерения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начало отчетного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noProof/>
                <w:color w:val="000000"/>
                <w:sz w:val="20"/>
              </w:rPr>
            </w:pPr>
            <w:r w:rsidRPr="00034730">
              <w:rPr>
                <w:noProof/>
                <w:color w:val="000000"/>
                <w:sz w:val="20"/>
              </w:rPr>
              <w:t>Наличие на конец отчетного года</w:t>
            </w: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5</w:t>
            </w: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80" w:lineRule="exact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Автозаправочные станции (АЗС) </w:t>
            </w:r>
            <w:r w:rsidRPr="00034730">
              <w:rPr>
                <w:color w:val="000000"/>
                <w:sz w:val="20"/>
                <w:lang w:val="en-US"/>
              </w:rPr>
              <w:t>–</w:t>
            </w:r>
            <w:r w:rsidRPr="00034730">
              <w:rPr>
                <w:color w:val="000000"/>
                <w:sz w:val="20"/>
              </w:rPr>
              <w:t xml:space="preserve">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napToGrid w:val="0"/>
              <w:spacing w:line="240" w:lineRule="exact"/>
              <w:ind w:left="245" w:firstLine="95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 xml:space="preserve">         из них:</w:t>
            </w:r>
            <w:r w:rsidRPr="00034730">
              <w:rPr>
                <w:color w:val="000000"/>
                <w:sz w:val="20"/>
              </w:rPr>
              <w:br/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криогенные газозаправочные станции (КриоГЗС)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034730" w:rsidRPr="00034730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0" w:rsidRPr="00034730" w:rsidRDefault="00034730" w:rsidP="00034730">
            <w:pPr>
              <w:spacing w:line="280" w:lineRule="exact"/>
              <w:ind w:left="227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электрозаправочные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034730">
              <w:rPr>
                <w:color w:val="000000"/>
                <w:sz w:val="20"/>
              </w:rPr>
              <w:t>шт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30" w:rsidRPr="00034730" w:rsidRDefault="00034730" w:rsidP="00034730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034730" w:rsidRPr="00034730" w:rsidRDefault="00034730" w:rsidP="00034730">
      <w:pPr>
        <w:tabs>
          <w:tab w:val="left" w:pos="708"/>
          <w:tab w:val="center" w:pos="4536"/>
          <w:tab w:val="right" w:pos="9072"/>
        </w:tabs>
        <w:rPr>
          <w:color w:val="000000"/>
          <w:sz w:val="8"/>
        </w:rPr>
      </w:pPr>
    </w:p>
    <w:p w:rsidR="00034730" w:rsidRPr="00034730" w:rsidRDefault="00034730" w:rsidP="00034730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color w:val="000000"/>
          <w:sz w:val="20"/>
          <w:lang w:val="en-US"/>
        </w:rPr>
      </w:pPr>
    </w:p>
    <w:p w:rsidR="00034730" w:rsidRPr="00034730" w:rsidRDefault="00034730" w:rsidP="00034730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color w:val="000000"/>
          <w:sz w:val="20"/>
          <w:lang w:val="en-US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DB4431" w:rsidRPr="00034730" w:rsidTr="007D619F">
        <w:trPr>
          <w:gridAfter w:val="1"/>
          <w:wAfter w:w="142" w:type="dxa"/>
          <w:cantSplit/>
          <w:tblHeader/>
        </w:trPr>
        <w:tc>
          <w:tcPr>
            <w:tcW w:w="3969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Должностное лицо, ответственное за</w:t>
            </w:r>
          </w:p>
          <w:p w:rsidR="00DB4431" w:rsidRPr="00034730" w:rsidRDefault="00DB4431" w:rsidP="00DB4431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B4431" w:rsidRDefault="00DB4431" w:rsidP="00DB44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Будаговского сельского поселения И.А.Лысенко</w:t>
            </w:r>
          </w:p>
        </w:tc>
        <w:tc>
          <w:tcPr>
            <w:tcW w:w="2867" w:type="dxa"/>
            <w:gridSpan w:val="3"/>
          </w:tcPr>
          <w:p w:rsidR="00DB4431" w:rsidRPr="00034730" w:rsidRDefault="00DB4431" w:rsidP="00DB4431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</w:tc>
      </w:tr>
      <w:tr w:rsidR="00DB4431" w:rsidRPr="00034730" w:rsidTr="007D619F">
        <w:trPr>
          <w:cantSplit/>
          <w:tblHeader/>
        </w:trPr>
        <w:tc>
          <w:tcPr>
            <w:tcW w:w="4111" w:type="dxa"/>
            <w:gridSpan w:val="2"/>
          </w:tcPr>
          <w:p w:rsidR="00DB4431" w:rsidRPr="00034730" w:rsidRDefault="00DB4431" w:rsidP="00DB4431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4431" w:rsidRDefault="00DB4431" w:rsidP="00DB4431">
            <w:pPr>
              <w:rPr>
                <w:sz w:val="20"/>
              </w:rPr>
            </w:pPr>
            <w:r>
              <w:rPr>
                <w:sz w:val="20"/>
              </w:rPr>
              <w:t>83953037123</w:t>
            </w:r>
          </w:p>
        </w:tc>
        <w:tc>
          <w:tcPr>
            <w:tcW w:w="283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(Ф.И.О.)</w:t>
            </w:r>
          </w:p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83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(подпись)</w:t>
            </w:r>
          </w:p>
        </w:tc>
      </w:tr>
      <w:tr w:rsidR="00DB4431" w:rsidRPr="00034730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  <w:lang w:val="en-US"/>
              </w:rPr>
              <w:t>E</w:t>
            </w:r>
            <w:r w:rsidRPr="00034730">
              <w:rPr>
                <w:color w:val="000000"/>
                <w:sz w:val="20"/>
                <w:szCs w:val="24"/>
              </w:rPr>
              <w:t>-</w:t>
            </w:r>
            <w:r w:rsidRPr="00034730">
              <w:rPr>
                <w:color w:val="000000"/>
                <w:sz w:val="20"/>
                <w:szCs w:val="24"/>
                <w:lang w:val="en-US"/>
              </w:rPr>
              <w:t>mail</w:t>
            </w:r>
            <w:r w:rsidRPr="00034730">
              <w:rPr>
                <w:color w:val="000000"/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584" w:type="dxa"/>
            <w:gridSpan w:val="2"/>
          </w:tcPr>
          <w:p w:rsidR="00DB4431" w:rsidRPr="00034730" w:rsidRDefault="00DB4431" w:rsidP="00DB4431">
            <w:pPr>
              <w:jc w:val="both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«__</w:t>
            </w:r>
            <w:r>
              <w:rPr>
                <w:color w:val="000000"/>
                <w:sz w:val="20"/>
                <w:szCs w:val="24"/>
              </w:rPr>
              <w:t>02__» 02.2021</w:t>
            </w:r>
            <w:r w:rsidRPr="00034730">
              <w:rPr>
                <w:color w:val="000000"/>
                <w:sz w:val="20"/>
                <w:szCs w:val="24"/>
              </w:rPr>
              <w:t>_ год</w:t>
            </w:r>
            <w:r>
              <w:rPr>
                <w:color w:val="000000"/>
                <w:sz w:val="20"/>
                <w:szCs w:val="24"/>
              </w:rPr>
              <w:t>а</w:t>
            </w:r>
          </w:p>
        </w:tc>
      </w:tr>
      <w:tr w:rsidR="00DB4431" w:rsidRPr="00034730">
        <w:trPr>
          <w:cantSplit/>
          <w:tblHeader/>
        </w:trPr>
        <w:tc>
          <w:tcPr>
            <w:tcW w:w="4111" w:type="dxa"/>
            <w:gridSpan w:val="2"/>
          </w:tcPr>
          <w:p w:rsidR="00DB4431" w:rsidRPr="00034730" w:rsidRDefault="00DB4431" w:rsidP="00DB4431">
            <w:pPr>
              <w:spacing w:line="200" w:lineRule="exact"/>
              <w:jc w:val="both"/>
              <w:rPr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2584" w:type="dxa"/>
            <w:gridSpan w:val="2"/>
          </w:tcPr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 xml:space="preserve"> (дата составления</w:t>
            </w:r>
          </w:p>
          <w:p w:rsidR="00DB4431" w:rsidRPr="00034730" w:rsidRDefault="00DB4431" w:rsidP="00DB4431">
            <w:pPr>
              <w:spacing w:line="200" w:lineRule="exact"/>
              <w:jc w:val="center"/>
              <w:rPr>
                <w:color w:val="000000"/>
                <w:sz w:val="20"/>
                <w:szCs w:val="24"/>
              </w:rPr>
            </w:pPr>
            <w:r w:rsidRPr="00034730">
              <w:rPr>
                <w:color w:val="000000"/>
                <w:sz w:val="20"/>
                <w:szCs w:val="24"/>
              </w:rPr>
              <w:t>документа)</w:t>
            </w:r>
          </w:p>
        </w:tc>
      </w:tr>
    </w:tbl>
    <w:p w:rsidR="00034730" w:rsidRPr="00034730" w:rsidRDefault="00034730" w:rsidP="00034730">
      <w:pPr>
        <w:spacing w:after="120"/>
        <w:jc w:val="center"/>
        <w:rPr>
          <w:b/>
          <w:color w:val="000000"/>
          <w:sz w:val="26"/>
        </w:rPr>
      </w:pPr>
      <w:r w:rsidRPr="00034730">
        <w:rPr>
          <w:color w:val="000000"/>
        </w:rPr>
        <w:br w:type="page"/>
      </w:r>
      <w:r w:rsidRPr="00034730">
        <w:rPr>
          <w:b/>
          <w:color w:val="000000"/>
          <w:sz w:val="26"/>
        </w:rPr>
        <w:lastRenderedPageBreak/>
        <w:t>Указания по заполнению формы федерального статистического наблюдения</w:t>
      </w:r>
    </w:p>
    <w:p w:rsidR="00034730" w:rsidRPr="00034730" w:rsidRDefault="00034730" w:rsidP="00034730">
      <w:pPr>
        <w:ind w:firstLine="709"/>
        <w:jc w:val="center"/>
        <w:rPr>
          <w:b/>
          <w:color w:val="000000"/>
          <w:szCs w:val="24"/>
        </w:rPr>
      </w:pPr>
      <w:r w:rsidRPr="00034730">
        <w:rPr>
          <w:b/>
          <w:color w:val="000000"/>
          <w:lang w:val="en-US"/>
        </w:rPr>
        <w:t>I</w:t>
      </w:r>
      <w:r w:rsidRPr="00034730">
        <w:rPr>
          <w:b/>
          <w:color w:val="000000"/>
        </w:rPr>
        <w:t>. Общие положения</w:t>
      </w:r>
    </w:p>
    <w:p w:rsidR="00034730" w:rsidRPr="00034730" w:rsidRDefault="00034730" w:rsidP="00034730">
      <w:pPr>
        <w:ind w:firstLine="709"/>
        <w:jc w:val="center"/>
        <w:rPr>
          <w:color w:val="000000"/>
          <w:sz w:val="8"/>
          <w:szCs w:val="8"/>
        </w:rPr>
      </w:pPr>
    </w:p>
    <w:p w:rsidR="00034730" w:rsidRPr="00034730" w:rsidRDefault="00034730" w:rsidP="00034730">
      <w:pPr>
        <w:ind w:firstLine="709"/>
        <w:jc w:val="both"/>
      </w:pPr>
      <w:r w:rsidRPr="00034730">
        <w:t>1. Форму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них» (далее – форма) предоставляют органы местного самоуправления муниципальных образований.</w:t>
      </w:r>
    </w:p>
    <w:p w:rsidR="00034730" w:rsidRPr="00034730" w:rsidRDefault="00034730" w:rsidP="00034730">
      <w:pPr>
        <w:ind w:firstLine="709"/>
        <w:jc w:val="both"/>
      </w:pPr>
      <w:r w:rsidRPr="00034730">
        <w:t>Форма предоставляется в адреса и сроки, указанные на бланке.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фактическое местонахождение респондента (почтовый) адрес. </w:t>
      </w:r>
    </w:p>
    <w:p w:rsidR="00034730" w:rsidRPr="00034730" w:rsidRDefault="00034730" w:rsidP="00034730">
      <w:pPr>
        <w:ind w:firstLine="709"/>
        <w:jc w:val="both"/>
      </w:pPr>
      <w:r w:rsidRPr="00034730"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034730" w:rsidRPr="00034730" w:rsidRDefault="00034730" w:rsidP="00034730">
      <w:pPr>
        <w:ind w:firstLine="709"/>
        <w:jc w:val="both"/>
      </w:pPr>
      <w:r w:rsidRPr="00034730">
        <w:t>3. При составлении формы должна быть обеспечена полнота ее заполнения и достоверность содержащихся в ней первичных статистических данных</w:t>
      </w:r>
      <w:r w:rsidR="003A1D5A" w:rsidRPr="003A1D5A">
        <w:t xml:space="preserve"> </w:t>
      </w:r>
      <w:r w:rsidR="003A1D5A">
        <w:t xml:space="preserve">(далее </w:t>
      </w:r>
      <w:r w:rsidR="003A1D5A">
        <w:sym w:font="Symbol" w:char="F02D"/>
      </w:r>
      <w:r w:rsidR="003A1D5A">
        <w:t xml:space="preserve"> данные)</w:t>
      </w:r>
      <w:r w:rsidRPr="00034730">
        <w:t>. В случае отсутствия у организации какого-либо явления в строке (графе) ставится прочерк.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4.</w:t>
      </w:r>
      <w:r w:rsidRPr="00034730">
        <w:t xml:space="preserve"> </w:t>
      </w:r>
      <w:r w:rsidRPr="00034730">
        <w:rPr>
          <w:b/>
        </w:rPr>
        <w:t>Все используемые</w:t>
      </w:r>
      <w:r w:rsidRPr="00034730">
        <w:t xml:space="preserve"> </w:t>
      </w:r>
      <w:r w:rsidRPr="00034730">
        <w:rPr>
          <w:b/>
        </w:rPr>
        <w:t>в настоящих Указаниях определения приводятся исключительно для целей заполнения формы</w:t>
      </w:r>
      <w:r w:rsidRPr="00034730">
        <w:t xml:space="preserve">. </w:t>
      </w:r>
    </w:p>
    <w:p w:rsidR="00034730" w:rsidRPr="00034730" w:rsidRDefault="003A1D5A" w:rsidP="00034730">
      <w:pPr>
        <w:ind w:firstLine="709"/>
        <w:jc w:val="both"/>
      </w:pPr>
      <w:r>
        <w:t>5. В форме отражаются данные</w:t>
      </w:r>
      <w:r w:rsidR="00034730" w:rsidRPr="00034730">
        <w:t xml:space="preserve"> об автомобильных дорогах общего пользования местного</w:t>
      </w:r>
      <w:r w:rsidR="00034730" w:rsidRPr="00034730">
        <w:rPr>
          <w:i/>
        </w:rPr>
        <w:t xml:space="preserve"> </w:t>
      </w:r>
      <w:r w:rsidR="00034730" w:rsidRPr="00034730">
        <w:t>значения, находящихся в собственности муниципальных образований на основе вещного права (например, на балансе муниципального образования, в хозяйственном ведении, в оперативном управлении, в казне муниципального образования) и (или) включенных в утвержденный перечень автомобильных дорог общего пользования, об искусственных сооружениях на них, а также сведения об объектах автогазозаправочной инфраструктуры.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Согласно Федеральному закону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257-ФЗ): 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</w:t>
      </w:r>
      <w:r w:rsidRPr="00034730">
        <w:br/>
        <w:t xml:space="preserve">– защитные дорожные сооружения, искусственные дорожные сооружения, производственные объекты, элементы обустройства автомобильных дорог.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В зависимости от вида разрешенного использования автомобильные дороги подразделяются на автомобильные дороги </w:t>
      </w:r>
      <w:r w:rsidRPr="00034730">
        <w:rPr>
          <w:b/>
        </w:rPr>
        <w:t>общего пользования</w:t>
      </w:r>
      <w:r w:rsidRPr="00034730">
        <w:t xml:space="preserve"> и автомобильные дороги </w:t>
      </w:r>
      <w:r w:rsidRPr="00034730">
        <w:rPr>
          <w:b/>
        </w:rPr>
        <w:t>необщего пользования</w:t>
      </w:r>
      <w:r w:rsidRPr="00034730">
        <w:t>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К автомобильным дорогам </w:t>
      </w:r>
      <w:r w:rsidRPr="00034730">
        <w:rPr>
          <w:b/>
        </w:rPr>
        <w:t>общего пользования</w:t>
      </w:r>
      <w:r w:rsidRPr="00034730">
        <w:t xml:space="preserve"> относятся автомобильные дороги, предназначенные для движения транспортных средств неограниченного круга лиц.</w:t>
      </w:r>
    </w:p>
    <w:p w:rsidR="00034730" w:rsidRPr="00034730" w:rsidRDefault="00034730" w:rsidP="00034730">
      <w:pPr>
        <w:pageBreakBefore/>
        <w:ind w:firstLine="709"/>
        <w:jc w:val="both"/>
      </w:pPr>
      <w:r w:rsidRPr="00034730">
        <w:lastRenderedPageBreak/>
        <w:t>Согласно Глоссарию по статистике транспорта (четвертое издание на русском языке размещено на сайте ЕК ООН) улицы относятся к дорогам внутри населенного пункта и включаются в протяженность автомобильных дорог. Следовательно, протяженность улиц в городских и сельских поселениях включается в протяженность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городского и сельского поселений</w:t>
      </w:r>
      <w:r w:rsidRPr="00034730">
        <w:t xml:space="preserve">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муниципального района</w:t>
      </w:r>
      <w:r w:rsidRPr="00034730">
        <w:t xml:space="preserve"> являются автомобильные дороги общего пользования в границах муниципального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034730" w:rsidRPr="00034730" w:rsidRDefault="00034730" w:rsidP="00034730">
      <w:pPr>
        <w:ind w:firstLine="540"/>
        <w:jc w:val="both"/>
      </w:pPr>
      <w:r w:rsidRPr="00034730">
        <w:rPr>
          <w:b/>
        </w:rPr>
        <w:t>Автомобильными дорогами общего пользования местного значения городского округа</w:t>
      </w:r>
      <w:r w:rsidRPr="00034730">
        <w:t xml:space="preserve"> являются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Утверждение перечней автомобильных дорог общего и необщего пользования местного значения входит в полномочия органов местного самоуправления (п. 5 ст. 13 Федерального закона № 257-ФЗ). </w:t>
      </w:r>
    </w:p>
    <w:p w:rsidR="00034730" w:rsidRPr="00034730" w:rsidRDefault="00034730" w:rsidP="00034730">
      <w:pPr>
        <w:ind w:firstLine="709"/>
        <w:jc w:val="both"/>
        <w:rPr>
          <w:b/>
        </w:rPr>
      </w:pPr>
      <w:r w:rsidRPr="00034730">
        <w:rPr>
          <w:b/>
        </w:rPr>
        <w:t>6. В отчет по форме не включаются: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об автомобильных дорогах федерального, регионального или межмуниципального значения  и  искусственных сооружениях на них, относящихся соответственно к федеральной собственности и собственности субъектов Российской Федерации (указанные сведения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значения»).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об автомобильных дорогах необщего пользования местного значения (находящихся в собственности, во владении или в пользовании местных администраций (исполнительно-распорядительных органов муниципальных образований) и используемых ими исключительно для обеспечения собственных или муниципальных нужд)); 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– </w:t>
      </w:r>
      <w:r w:rsidR="003A1D5A">
        <w:t>данные</w:t>
      </w:r>
      <w:r w:rsidRPr="00034730">
        <w:t xml:space="preserve"> о лесных дорогах (в соответствии с пп. 3.1 и 6.3.1 свода правил «Дороги лесные. Правила эксплуатации», утвержденного приказом Минстроя России от 25.12.2017 № 1713/пр, лесные дороги относятся к дорогам необщего пользования);</w:t>
      </w:r>
    </w:p>
    <w:p w:rsidR="00034730" w:rsidRPr="00034730" w:rsidRDefault="00034730" w:rsidP="00034730">
      <w:pPr>
        <w:autoSpaceDE w:val="0"/>
        <w:autoSpaceDN w:val="0"/>
        <w:ind w:firstLine="709"/>
        <w:jc w:val="both"/>
        <w:rPr>
          <w:rFonts w:eastAsia="Calibri"/>
          <w:bCs/>
          <w:szCs w:val="24"/>
          <w:lang w:eastAsia="en-US"/>
        </w:rPr>
      </w:pPr>
      <w:r w:rsidRPr="00034730">
        <w:rPr>
          <w:rFonts w:eastAsia="Calibri"/>
          <w:bCs/>
          <w:szCs w:val="24"/>
          <w:lang w:eastAsia="en-US"/>
        </w:rPr>
        <w:t>– </w:t>
      </w:r>
      <w:r w:rsidR="003A1D5A">
        <w:t>данные</w:t>
      </w:r>
      <w:r w:rsidRPr="00034730">
        <w:rPr>
          <w:rFonts w:eastAsia="Calibri"/>
          <w:bCs/>
          <w:szCs w:val="24"/>
          <w:lang w:eastAsia="en-US"/>
        </w:rPr>
        <w:t xml:space="preserve"> о полевых дорогах (в соответствии с п. 3.13 СП 99.13330 </w:t>
      </w:r>
      <w:r w:rsidRPr="00034730">
        <w:rPr>
          <w:rFonts w:eastAsia="Calibri"/>
          <w:bCs/>
          <w:lang w:eastAsia="en-US"/>
        </w:rPr>
        <w:t>«</w:t>
      </w:r>
      <w:r w:rsidRPr="00034730">
        <w:rPr>
          <w:rFonts w:eastAsia="Calibri"/>
          <w:bCs/>
          <w:szCs w:val="24"/>
          <w:lang w:eastAsia="en-US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  <w:r w:rsidRPr="00034730">
        <w:rPr>
          <w:rFonts w:eastAsia="Calibri"/>
          <w:bCs/>
          <w:lang w:eastAsia="en-US"/>
        </w:rPr>
        <w:t>»</w:t>
      </w:r>
      <w:r w:rsidRPr="00034730">
        <w:rPr>
          <w:rFonts w:eastAsia="Calibri"/>
          <w:b/>
          <w:bCs/>
          <w:lang w:eastAsia="en-US"/>
        </w:rPr>
        <w:t xml:space="preserve">, </w:t>
      </w:r>
      <w:r w:rsidRPr="00034730">
        <w:rPr>
          <w:rFonts w:eastAsia="Calibri"/>
          <w:bCs/>
          <w:lang w:eastAsia="en-US"/>
        </w:rPr>
        <w:t>утвержденным приказом Минстроя России</w:t>
      </w:r>
      <w:r w:rsidRPr="00034730">
        <w:rPr>
          <w:rFonts w:eastAsia="Calibri"/>
          <w:bCs/>
          <w:lang w:eastAsia="en-US"/>
        </w:rPr>
        <w:br/>
        <w:t>от 30.12.2016 № 1029/пр</w:t>
      </w:r>
      <w:r w:rsidRPr="00034730">
        <w:rPr>
          <w:rFonts w:eastAsia="Calibri"/>
          <w:bCs/>
          <w:szCs w:val="24"/>
          <w:lang w:eastAsia="en-US"/>
        </w:rPr>
        <w:t xml:space="preserve">, полевые дороги  являются путями, необходимыми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технологических целей). </w:t>
      </w:r>
    </w:p>
    <w:p w:rsidR="00034730" w:rsidRPr="00034730" w:rsidRDefault="003A1D5A" w:rsidP="00034730">
      <w:pPr>
        <w:autoSpaceDE w:val="0"/>
        <w:autoSpaceDN w:val="0"/>
        <w:ind w:firstLine="709"/>
        <w:jc w:val="both"/>
        <w:rPr>
          <w:rFonts w:eastAsia="Calibri"/>
          <w:bCs/>
          <w:szCs w:val="24"/>
          <w:lang w:eastAsia="en-US"/>
        </w:rPr>
      </w:pPr>
      <w:r>
        <w:t>Данные</w:t>
      </w:r>
      <w:r w:rsidR="00034730" w:rsidRPr="00034730">
        <w:rPr>
          <w:rFonts w:eastAsia="Calibri"/>
          <w:bCs/>
          <w:lang w:eastAsia="en-US"/>
        </w:rPr>
        <w:t xml:space="preserve">  об автомобильных дорогах необщего пользования местного значения, лесных и полевых дорогах отражаются в разделе 3 формы федерального статистического наблюдения № 1-ТР (автотранспорт) «Сведения о грузовом автотранспорте и протяженности автодорог необщего пользования».</w:t>
      </w:r>
    </w:p>
    <w:p w:rsidR="00034730" w:rsidRPr="00034730" w:rsidRDefault="00034730" w:rsidP="00034730">
      <w:pPr>
        <w:ind w:left="119" w:firstLine="590"/>
        <w:jc w:val="both"/>
      </w:pPr>
      <w:r w:rsidRPr="00034730">
        <w:lastRenderedPageBreak/>
        <w:t xml:space="preserve">– </w:t>
      </w:r>
      <w:r w:rsidR="003A1D5A">
        <w:t>данные</w:t>
      </w:r>
      <w:r w:rsidRPr="00034730">
        <w:t xml:space="preserve"> о количестве автозаправочных станций (АЗС), расположенных в придорожной полосе автомобильных дорог общего пользования федерального, регионального или межмуниципального значения, отражаются в форме федерального статистического наблюдения № 1-ДГ «Сведения об автомобильных дорогах общего пользования и сооружениях на них федерального, регионального или межмуниципального значения».</w:t>
      </w:r>
    </w:p>
    <w:p w:rsidR="00034730" w:rsidRPr="00034730" w:rsidRDefault="00034730" w:rsidP="00034730">
      <w:pPr>
        <w:spacing w:after="120"/>
        <w:ind w:firstLine="709"/>
        <w:jc w:val="center"/>
        <w:rPr>
          <w:b/>
        </w:rPr>
      </w:pPr>
      <w:r w:rsidRPr="00034730">
        <w:rPr>
          <w:b/>
          <w:lang w:val="en-US"/>
        </w:rPr>
        <w:t>II</w:t>
      </w:r>
      <w:r w:rsidRPr="00034730">
        <w:rPr>
          <w:b/>
        </w:rPr>
        <w:t>. Заполнение показателей формы</w:t>
      </w:r>
    </w:p>
    <w:p w:rsidR="00034730" w:rsidRPr="00034730" w:rsidRDefault="00034730" w:rsidP="00034730">
      <w:pPr>
        <w:ind w:firstLine="709"/>
        <w:jc w:val="both"/>
      </w:pPr>
      <w:r w:rsidRPr="00034730">
        <w:t>7. В разделах формы, кроме строк 211 – 214 данные по всем строкам показываются на начало (гр. 4) и на конец (гр. 5) отчетного года. При этом данные на начало отчетного года должны соответствовать данным  на конец года, предоставленным в отчете прошлого года. Если соответствия нет, то к отчету</w:t>
      </w:r>
      <w:r w:rsidRPr="00034730">
        <w:rPr>
          <w:color w:val="FF0000"/>
        </w:rPr>
        <w:t xml:space="preserve"> </w:t>
      </w:r>
      <w:r w:rsidRPr="00034730">
        <w:t>прикладывается пояснительная записка.</w:t>
      </w:r>
    </w:p>
    <w:p w:rsidR="00034730" w:rsidRPr="00034730" w:rsidRDefault="00034730" w:rsidP="00034730">
      <w:pPr>
        <w:ind w:firstLine="709"/>
        <w:jc w:val="both"/>
        <w:rPr>
          <w:b/>
        </w:rPr>
      </w:pPr>
      <w:r w:rsidRPr="00034730">
        <w:t>8. Данные, отраженные в форме в километрах и погонных метрах, приводятся с точностью до одного десятичного знака после запятой. В случае отсутствия данных по строке (графе) проставляется прочерк.</w:t>
      </w:r>
    </w:p>
    <w:p w:rsidR="00034730" w:rsidRPr="00034730" w:rsidRDefault="00034730" w:rsidP="00034730">
      <w:pPr>
        <w:spacing w:before="240" w:after="120"/>
        <w:jc w:val="center"/>
        <w:outlineLvl w:val="1"/>
        <w:rPr>
          <w:b/>
          <w:i/>
          <w:u w:val="single"/>
        </w:rPr>
      </w:pPr>
      <w:r w:rsidRPr="00034730">
        <w:rPr>
          <w:b/>
        </w:rPr>
        <w:t>Раздел 1. Протяженность автомобильных дорог общего пользования местного значения</w:t>
      </w:r>
    </w:p>
    <w:p w:rsidR="00034730" w:rsidRPr="00034730" w:rsidRDefault="00034730" w:rsidP="00034730">
      <w:pPr>
        <w:ind w:firstLine="709"/>
        <w:jc w:val="both"/>
      </w:pPr>
      <w:r w:rsidRPr="00034730">
        <w:t>В разделе показывается протяженность автомобильных дорог общего пользования местного значения, автозимников и ледовых переправ (в километрах, с точностью до 0,1), а также количество паромных переправ (в штуках).</w:t>
      </w:r>
    </w:p>
    <w:p w:rsidR="00034730" w:rsidRPr="00034730" w:rsidRDefault="00034730" w:rsidP="00034730">
      <w:pPr>
        <w:tabs>
          <w:tab w:val="left" w:pos="1080"/>
        </w:tabs>
        <w:ind w:firstLine="709"/>
        <w:jc w:val="both"/>
      </w:pPr>
      <w:r w:rsidRPr="00034730">
        <w:t xml:space="preserve">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Федерации. Протяженность автомобильной дороги в границах населенного пункта исчисляется от начальной точки до конечной точки автомобильной дороги </w:t>
      </w:r>
      <w:r w:rsidRPr="00034730">
        <w:rPr>
          <w:i/>
        </w:rPr>
        <w:t xml:space="preserve">по ее центральной оси </w:t>
      </w:r>
      <w:r w:rsidRPr="00034730">
        <w:t>(ст. 9 Федерального закона № 257-ФЗ).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101 отражается </w:t>
      </w:r>
      <w:r w:rsidRPr="00034730">
        <w:rPr>
          <w:b/>
        </w:rPr>
        <w:t xml:space="preserve">общая протяженность автомобильных дорог, </w:t>
      </w:r>
      <w:r w:rsidRPr="00034730">
        <w:t>в которую</w:t>
      </w:r>
      <w:r w:rsidRPr="00034730">
        <w:rPr>
          <w:b/>
        </w:rPr>
        <w:t xml:space="preserve"> </w:t>
      </w:r>
      <w:r w:rsidRPr="00034730">
        <w:t xml:space="preserve">включается протяженность автомобильных дорог </w:t>
      </w:r>
      <w:r w:rsidRPr="00034730">
        <w:rPr>
          <w:b/>
        </w:rPr>
        <w:t>с твердым покрытием и грунтовых дорог</w:t>
      </w:r>
      <w:r w:rsidRPr="00034730">
        <w:t>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Протяженность автозимников и ледовых переправ </w:t>
      </w:r>
      <w:r w:rsidRPr="00034730">
        <w:rPr>
          <w:b/>
        </w:rPr>
        <w:t>не включается</w:t>
      </w:r>
      <w:r w:rsidRPr="00034730">
        <w:t xml:space="preserve"> в протяженность автомобильных дорог и отражается отдельно </w:t>
      </w:r>
      <w:r w:rsidRPr="00034730">
        <w:br/>
        <w:t>по строке 109.</w:t>
      </w:r>
    </w:p>
    <w:p w:rsidR="00034730" w:rsidRPr="00034730" w:rsidRDefault="00034730" w:rsidP="00034730">
      <w:pPr>
        <w:ind w:firstLine="709"/>
        <w:jc w:val="both"/>
      </w:pPr>
      <w:r w:rsidRPr="00034730">
        <w:rPr>
          <w:b/>
        </w:rPr>
        <w:t>Грунтовая дорога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автомобильная дорога, не имеющая твердого покрытия.</w:t>
      </w:r>
    </w:p>
    <w:p w:rsidR="00034730" w:rsidRPr="00034730" w:rsidRDefault="00034730" w:rsidP="00034730">
      <w:pPr>
        <w:ind w:left="119" w:firstLine="589"/>
        <w:jc w:val="both"/>
        <w:rPr>
          <w:rFonts w:eastAsia="DejaVuSerif"/>
        </w:rPr>
      </w:pPr>
      <w:r w:rsidRPr="00034730">
        <w:rPr>
          <w:b/>
          <w:bCs/>
        </w:rPr>
        <w:t>Дорога зимняя (автозимник)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озер. Действует до оттаивания ледяного покрытия.</w:t>
      </w:r>
      <w:r w:rsidRPr="00034730">
        <w:rPr>
          <w:rFonts w:eastAsia="DejaVuSerif"/>
        </w:rPr>
        <w:t xml:space="preserve">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102 отражается </w:t>
      </w:r>
      <w:r w:rsidRPr="00034730">
        <w:rPr>
          <w:b/>
        </w:rPr>
        <w:t xml:space="preserve">протяженность автомобильных дорог с твердым покрытием, </w:t>
      </w:r>
      <w:r w:rsidRPr="00034730">
        <w:t>к которому относится усовершенствованное покрытие (цементобетонное, асфальтобетонное, из щебня и гравия, обработанных вяжущими материалами) и покрытие переходного типа (из щебня и гравия (шлака), не обработанных вяжущими материалами, каменные мостовые; из грунтов и местных малопрочных материалов, обработанных вяжущими материалами).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103 выделяется из строки 102 </w:t>
      </w:r>
      <w:r w:rsidRPr="00034730">
        <w:rPr>
          <w:b/>
        </w:rPr>
        <w:t xml:space="preserve">протяженность автомобильных дорог с усовершенствованным покрытием </w:t>
      </w:r>
      <w:r w:rsidRPr="00034730">
        <w:t>(цементобетонное, асфальтобетонное, из щебня и гравия, обработанных вяжущими материалами).</w:t>
      </w:r>
    </w:p>
    <w:p w:rsidR="00034730" w:rsidRPr="00034730" w:rsidRDefault="00034730" w:rsidP="00034730">
      <w:pPr>
        <w:ind w:firstLine="720"/>
        <w:jc w:val="both"/>
      </w:pPr>
      <w:r w:rsidRPr="00034730">
        <w:t>По строке 104,  в том числе из строки 101 показывается протяженность автомобильных дорог общего пользования местного значения по сельским территориям, в том числе межпоселковые автомобильные дороги.</w:t>
      </w:r>
    </w:p>
    <w:p w:rsidR="00034730" w:rsidRPr="00034730" w:rsidRDefault="00034730" w:rsidP="00034730">
      <w:pPr>
        <w:ind w:left="119" w:firstLine="709"/>
        <w:jc w:val="both"/>
        <w:rPr>
          <w:i/>
        </w:rPr>
      </w:pPr>
      <w:r w:rsidRPr="00034730">
        <w:rPr>
          <w:i/>
        </w:rPr>
        <w:lastRenderedPageBreak/>
        <w:t>Согласно Концепции 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2136-р:</w:t>
      </w:r>
    </w:p>
    <w:p w:rsidR="00034730" w:rsidRPr="00034730" w:rsidRDefault="00034730" w:rsidP="00034730">
      <w:pPr>
        <w:ind w:left="119" w:firstLine="709"/>
        <w:jc w:val="both"/>
      </w:pPr>
      <w:r w:rsidRPr="00034730">
        <w:t>«сельские территории» – территории сельских поселений и соответствующие межселенные территории;</w:t>
      </w:r>
    </w:p>
    <w:p w:rsidR="00034730" w:rsidRPr="00034730" w:rsidRDefault="00034730" w:rsidP="00034730">
      <w:pPr>
        <w:ind w:left="119" w:firstLine="709"/>
        <w:jc w:val="both"/>
      </w:pPr>
      <w:r w:rsidRPr="00034730">
        <w:t>«межселенные территории»  – территории, находящиеся вне границ поселений;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«сельское поселение» –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«сельские населенные пункты» – поселки, села, деревни, станицы, кишлаки, аулы, хутора и другие сельские населенные пункты, отнесенные независимо от количества проживающих в них людей к сельским населенным пунктам административно-территориальным делением, установленным в субъектах Российской Федерации. В них может сезонно проживать значительное количество городских жителей.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По строке 105, в том числе из строки 102, отражается протяженность автомобильных дорог общего пользования местного значения с твердым покрытием по сельским территориям, в том числе межпоселковые автомобильные дороги.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строке 106, в том числе из строки 101, указывается протяженность автомобильных дорог общего пользования местного значения с твердым покрытием и грунтовых дорог, не отвечающих нормативным требованиям. 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При заполнении строки 106 следует руководствоваться  требованиями ГОСТ Р 50597-2017 «Дороги автомобильные и улицы. Требования к эксплуатационному  состоянию, допустимому по условиям обеспечения безопасности дорожного движения. Методы контроля», утвержденным </w:t>
      </w:r>
      <w:r w:rsidRPr="00034730">
        <w:rPr>
          <w:u w:val="single"/>
        </w:rPr>
        <w:t>приказом</w:t>
      </w:r>
      <w:r w:rsidRPr="00034730">
        <w:t xml:space="preserve"> Федерального агентства по техническому регулированию и метрологии от 26.10.2017 № 1245-ст с учетом ОДМ 218.4.039-2018 «Рекомендации по диагностике и оценке технического состояния автомобильных дорог», утвержденными </w:t>
      </w:r>
      <w:r w:rsidRPr="00034730">
        <w:rPr>
          <w:u w:val="single"/>
        </w:rPr>
        <w:t>распоряжением</w:t>
      </w:r>
      <w:r w:rsidRPr="00034730">
        <w:t xml:space="preserve"> Федерального дорожного агентства от 04.07.2018 № 2481-р, положениями Порядка проведения оценки технического состояния автомобильных дорог, утвержденного приказом Минтранса России от 27.08.2009 № 150 (зарегистрирован Минюстом России 25.12.2009, регистрационный № 15860).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строке 107 отражаются </w:t>
      </w:r>
      <w:r w:rsidR="003A1D5A">
        <w:t>данные</w:t>
      </w:r>
      <w:r w:rsidRPr="00034730">
        <w:t xml:space="preserve"> о количестве паромных переправ.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rPr>
          <w:b/>
        </w:rPr>
        <w:t>Паромная переправа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участок водного пути с причальными сооружениями и курсирующими на нем специализированными судами - паромами.</w:t>
      </w:r>
    </w:p>
    <w:p w:rsidR="00034730" w:rsidRPr="00034730" w:rsidRDefault="00034730" w:rsidP="00034730">
      <w:pPr>
        <w:spacing w:line="260" w:lineRule="exact"/>
        <w:ind w:firstLine="709"/>
        <w:jc w:val="both"/>
      </w:pPr>
      <w:r w:rsidRPr="00034730">
        <w:rPr>
          <w:b/>
        </w:rPr>
        <w:t>Плавсредства переправ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все плавающие (самоходные, несамоходные, стоечные) средства или суда.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cs="Arial"/>
        </w:rPr>
      </w:pPr>
      <w:r w:rsidRPr="00034730">
        <w:rPr>
          <w:rFonts w:cs="Arial"/>
        </w:rPr>
        <w:t>К</w:t>
      </w:r>
      <w:r w:rsidRPr="00034730">
        <w:rPr>
          <w:rFonts w:cs="Arial"/>
          <w:b/>
        </w:rPr>
        <w:t xml:space="preserve"> самоходным плавсредствам </w:t>
      </w:r>
      <w:r w:rsidRPr="00034730">
        <w:rPr>
          <w:rFonts w:cs="Arial"/>
        </w:rPr>
        <w:t>относятся суда, имеющие силовую установку (двигатель) и движитель (гребное колесо, гребной винт, водомет).</w:t>
      </w:r>
    </w:p>
    <w:p w:rsidR="00034730" w:rsidRPr="00034730" w:rsidRDefault="003A1D5A" w:rsidP="00034730">
      <w:pPr>
        <w:spacing w:line="260" w:lineRule="exact"/>
        <w:ind w:firstLine="720"/>
        <w:jc w:val="both"/>
      </w:pPr>
      <w:r>
        <w:t>Данные</w:t>
      </w:r>
      <w:r w:rsidR="00034730" w:rsidRPr="00034730">
        <w:rPr>
          <w:rFonts w:cs="Arial"/>
        </w:rPr>
        <w:t xml:space="preserve"> о переправах отображаются независимо от того, кому принадлежит право собственности на плавсредство.</w:t>
      </w:r>
    </w:p>
    <w:p w:rsidR="00034730" w:rsidRPr="00034730" w:rsidRDefault="00034730" w:rsidP="00034730">
      <w:pPr>
        <w:keepNext/>
        <w:spacing w:before="120" w:after="120"/>
        <w:jc w:val="center"/>
        <w:outlineLvl w:val="0"/>
        <w:rPr>
          <w:b/>
        </w:rPr>
      </w:pPr>
      <w:r w:rsidRPr="00034730">
        <w:rPr>
          <w:b/>
          <w:spacing w:val="-2"/>
        </w:rPr>
        <w:t>Раздел 2. Наличие и протяженность искусственных сооружений</w:t>
      </w:r>
      <w:r w:rsidRPr="00034730">
        <w:rPr>
          <w:b/>
          <w:spacing w:val="-2"/>
        </w:rPr>
        <w:br/>
        <w:t xml:space="preserve"> на автомобильных дорогах общего пользования местного значения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В разделе показываются отдельные виды искусственных сооружений на автомобильных дорогах общего пользования местного значения, находящиеся в собственности муниципальных образований на основе вещного права.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 По строкам 201 и 202 показывается  наличие (в штуках) и протяженность (в погонных метрах, с точностью до 0,1) </w:t>
      </w:r>
      <w:r w:rsidRPr="00034730">
        <w:rPr>
          <w:b/>
        </w:rPr>
        <w:t>мостов, путепроводов и эстакад</w:t>
      </w:r>
      <w:r w:rsidRPr="00034730">
        <w:t>, включаются сведения</w:t>
      </w:r>
      <w:r w:rsidRPr="00034730">
        <w:rPr>
          <w:b/>
        </w:rPr>
        <w:t xml:space="preserve"> </w:t>
      </w:r>
      <w:r w:rsidRPr="00034730">
        <w:rPr>
          <w:i/>
        </w:rPr>
        <w:t>о капитальных и деревянных сооружениях</w:t>
      </w:r>
      <w:r w:rsidRPr="00034730">
        <w:t>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rPr>
          <w:b/>
        </w:rPr>
        <w:lastRenderedPageBreak/>
        <w:t xml:space="preserve">Мост – </w:t>
      </w:r>
      <w:r w:rsidRPr="00034730">
        <w:t>сооружение, состоящее из опор и пролетных строений, предназначенное для пропуска транспортных путей через водные преграды.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rPr>
          <w:b/>
        </w:rPr>
        <w:t xml:space="preserve">Путепровод – </w:t>
      </w:r>
      <w:r w:rsidRPr="00034730">
        <w:rPr>
          <w:rFonts w:eastAsia="DejaVuSerif"/>
        </w:rPr>
        <w:t>мостовое сооружение для пропуска одной транспортной магистрали над другой в разных уровнях.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rPr>
          <w:b/>
          <w:bCs/>
        </w:rPr>
        <w:t>Эстакада</w:t>
      </w:r>
      <w:r w:rsidRPr="00034730">
        <w:t xml:space="preserve"> </w:t>
      </w:r>
      <w:r w:rsidRPr="00034730">
        <w:rPr>
          <w:b/>
        </w:rPr>
        <w:t>–</w:t>
      </w:r>
      <w:r w:rsidRPr="00034730">
        <w:t xml:space="preserve"> мостовое сооружение для пропуска транспортной магистрали на некоторой высоте над поверхностью земли, чтобы пространство под ней могло быть использовано для различных целей, или устраиваемое вместо насыпи на подходах к мостам. 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>Согласно своду правил СНиП 2.05.03-84 «Мосты и трубы»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034730" w:rsidRPr="00034730" w:rsidRDefault="00034730" w:rsidP="00034730">
      <w:pPr>
        <w:widowControl w:val="0"/>
        <w:autoSpaceDE w:val="0"/>
        <w:autoSpaceDN w:val="0"/>
        <w:ind w:firstLine="709"/>
        <w:jc w:val="both"/>
      </w:pPr>
      <w:r w:rsidRPr="00034730">
        <w:t xml:space="preserve">При заполнении строк 211 – 214 указываются мосты, путепроводы, эстакады, данные о техническом состоянии которых подтверждены </w:t>
      </w:r>
      <w:r w:rsidRPr="00034730">
        <w:rPr>
          <w:color w:val="000000"/>
        </w:rPr>
        <w:t xml:space="preserve">техническим отчетом об обследовании искусственного сооружения, содержащим обоснование наличия соответствующего состояния, разработанным специализированной организацией. </w:t>
      </w:r>
    </w:p>
    <w:p w:rsidR="00034730" w:rsidRPr="00034730" w:rsidRDefault="00034730" w:rsidP="00034730">
      <w:pPr>
        <w:suppressAutoHyphens/>
        <w:ind w:firstLine="709"/>
        <w:jc w:val="both"/>
        <w:rPr>
          <w:color w:val="000000"/>
        </w:rPr>
      </w:pPr>
      <w:r w:rsidRPr="00034730">
        <w:rPr>
          <w:color w:val="000000"/>
        </w:rPr>
        <w:t xml:space="preserve">Технический отчет или акт осмотра должны быть выполнены не ранее 5 лет до даты представления респондентом данной первичной статистической информации, при условии, что на сооружениях за указанный период не проводилось ремонтных воздействий. </w:t>
      </w:r>
    </w:p>
    <w:p w:rsidR="00034730" w:rsidRPr="00034730" w:rsidRDefault="00034730" w:rsidP="00034730">
      <w:pPr>
        <w:suppressAutoHyphens/>
        <w:ind w:firstLine="709"/>
        <w:jc w:val="both"/>
      </w:pPr>
      <w:r w:rsidRPr="00034730">
        <w:rPr>
          <w:color w:val="000000"/>
        </w:rPr>
        <w:t xml:space="preserve">Оценка технического состояния искусственного сооружения назначается в соответствии с «ОДМ 218.3.014-2011. Отраслевой дорожный методический документ. Методика оценки технического состояния мостовых сооружений на автомобильных дорогах», рекомендованный к применению </w:t>
      </w:r>
      <w:r w:rsidRPr="00034730">
        <w:rPr>
          <w:color w:val="000000"/>
          <w:u w:val="single"/>
        </w:rPr>
        <w:t>распоряжением</w:t>
      </w:r>
      <w:r w:rsidRPr="00034730">
        <w:rPr>
          <w:color w:val="000000"/>
        </w:rPr>
        <w:t xml:space="preserve"> Федерального дорожного агентства </w:t>
      </w:r>
      <w:r w:rsidRPr="00034730">
        <w:t>от 17 ноября 2011 г. № 883-р.</w:t>
      </w:r>
    </w:p>
    <w:p w:rsidR="00034730" w:rsidRPr="00034730" w:rsidRDefault="00034730" w:rsidP="00034730">
      <w:pPr>
        <w:suppressAutoHyphens/>
        <w:ind w:firstLine="709"/>
        <w:jc w:val="both"/>
      </w:pPr>
      <w:r w:rsidRPr="00034730">
        <w:t>Согласно СНиП 2.05.03-84 за длину мостов (путепроводов) следует принимать расстояние между концами береговых опор (закладных щитов), при этом длину переходных плит в расчет включать не следует.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rFonts w:eastAsia="DejaVuSerif"/>
        </w:rPr>
      </w:pPr>
      <w:r w:rsidRPr="00034730">
        <w:t xml:space="preserve">По строкам 215 и 216 отражается наличие (в штуках) и протяженность (в погонных метрах, с точностью до 0,1) </w:t>
      </w:r>
      <w:r w:rsidRPr="00034730">
        <w:rPr>
          <w:b/>
        </w:rPr>
        <w:t>автодорожных тоннелей.</w:t>
      </w:r>
      <w:r w:rsidRPr="00034730">
        <w:rPr>
          <w:color w:val="FF0000"/>
        </w:rPr>
        <w:t xml:space="preserve"> </w:t>
      </w:r>
      <w:r w:rsidRPr="00034730">
        <w:rPr>
          <w:b/>
          <w:bCs/>
          <w:color w:val="252525"/>
        </w:rPr>
        <w:t>Тоннель автодорожный</w:t>
      </w:r>
      <w:r w:rsidRPr="00034730">
        <w:rPr>
          <w:color w:val="252525"/>
        </w:rPr>
        <w:t xml:space="preserve"> – подземное или подводное сооружение, предназначенное для устройства автомобильной дороги через толщу земли, горный массив или под водным препятствием. </w:t>
      </w:r>
    </w:p>
    <w:p w:rsidR="00034730" w:rsidRPr="00034730" w:rsidRDefault="00034730" w:rsidP="00034730">
      <w:pPr>
        <w:spacing w:line="260" w:lineRule="exact"/>
        <w:ind w:firstLine="720"/>
        <w:jc w:val="both"/>
        <w:rPr>
          <w:caps/>
        </w:rPr>
      </w:pPr>
      <w:r w:rsidRPr="00034730">
        <w:t xml:space="preserve">Длину тоннелей следует определять как  расстояние между наружными гранями стен порталов по оси тоннеля. 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строкам 217 и 218 отражается наличие (в штуках) и протяженность (в погонных метрах, с точностью до 0,1) </w:t>
      </w:r>
      <w:r w:rsidRPr="00034730">
        <w:rPr>
          <w:b/>
        </w:rPr>
        <w:t>пешеходных переходов в разных с автомобильной дорогой уровнях</w:t>
      </w:r>
      <w:r w:rsidRPr="00034730">
        <w:t xml:space="preserve"> (эстакадные, подземные). Длина пешеходных переходов включает сумму длин лестничных маршей, пандусов, стволов лифтовых подъемников.</w:t>
      </w:r>
    </w:p>
    <w:p w:rsidR="00034730" w:rsidRPr="00034730" w:rsidRDefault="003A1D5A" w:rsidP="00034730">
      <w:pPr>
        <w:spacing w:line="260" w:lineRule="exact"/>
        <w:ind w:firstLine="720"/>
        <w:jc w:val="both"/>
      </w:pPr>
      <w:r>
        <w:t>Данные</w:t>
      </w:r>
      <w:r w:rsidR="00034730" w:rsidRPr="00034730">
        <w:t xml:space="preserve"> о пешеходных переходах «зебра» в строки 217 и 218 не включаются.</w:t>
      </w:r>
    </w:p>
    <w:p w:rsidR="00034730" w:rsidRPr="00034730" w:rsidRDefault="00034730" w:rsidP="00034730">
      <w:pPr>
        <w:spacing w:line="260" w:lineRule="exact"/>
        <w:ind w:firstLine="720"/>
        <w:jc w:val="both"/>
      </w:pPr>
      <w:r w:rsidRPr="00034730">
        <w:t xml:space="preserve">По строкам 219 – 222  отражается наличие (в штуках) и протяженность (в погонных метрах, с точностью до 0,1) </w:t>
      </w:r>
      <w:r w:rsidRPr="00034730">
        <w:rPr>
          <w:b/>
        </w:rPr>
        <w:t xml:space="preserve">труб </w:t>
      </w:r>
      <w:r w:rsidRPr="00034730">
        <w:t>под полотном автомобильной дороги, для пропуска постоянных или сезонных водотоков.</w:t>
      </w:r>
    </w:p>
    <w:p w:rsidR="00034730" w:rsidRPr="00034730" w:rsidRDefault="00034730" w:rsidP="00034730">
      <w:pPr>
        <w:ind w:firstLine="720"/>
        <w:jc w:val="both"/>
      </w:pPr>
      <w:r w:rsidRPr="00034730">
        <w:t xml:space="preserve">По строке 223 отражается протяженность </w:t>
      </w:r>
      <w:r w:rsidRPr="00034730">
        <w:rPr>
          <w:b/>
        </w:rPr>
        <w:t xml:space="preserve">снегозащитных сооружений </w:t>
      </w:r>
      <w:r w:rsidRPr="00034730">
        <w:t>(в километрах, точностью до 0,1),</w:t>
      </w:r>
      <w:r w:rsidRPr="00034730">
        <w:rPr>
          <w:b/>
        </w:rPr>
        <w:t xml:space="preserve"> </w:t>
      </w:r>
      <w:r w:rsidRPr="00034730">
        <w:t>к которым</w:t>
      </w:r>
      <w:r w:rsidRPr="00034730">
        <w:rPr>
          <w:b/>
        </w:rPr>
        <w:t xml:space="preserve"> </w:t>
      </w:r>
      <w:r w:rsidRPr="00034730">
        <w:t>относятся снегозащитные насаждения, снегозащитные средства (щиты, постоянные заборы), снегозащитные и противоселевые сооружения  и конструкции (например, галереи, тоннели, лотки). Наличие снегозащитных лесонасаждений определяется как сумма протяженности посадок с левой и правой сторон дороги. Наличие заборов и переносных щитов устанавливается по их фактической протяженности с правой и левой сторон дороги.</w:t>
      </w: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</w:p>
    <w:p w:rsidR="00034730" w:rsidRPr="00034730" w:rsidRDefault="00034730" w:rsidP="00034730">
      <w:pPr>
        <w:spacing w:before="120"/>
        <w:ind w:left="119" w:firstLine="499"/>
        <w:jc w:val="center"/>
        <w:rPr>
          <w:b/>
        </w:rPr>
      </w:pPr>
      <w:r w:rsidRPr="00034730">
        <w:rPr>
          <w:b/>
        </w:rPr>
        <w:t xml:space="preserve">Раздел 3. Основные сооружения и оборудование, повышающие безопасность дорожного движения </w:t>
      </w:r>
    </w:p>
    <w:p w:rsidR="00034730" w:rsidRPr="00034730" w:rsidRDefault="00034730" w:rsidP="00034730">
      <w:pPr>
        <w:spacing w:after="120"/>
        <w:ind w:left="119" w:firstLine="499"/>
        <w:jc w:val="center"/>
        <w:rPr>
          <w:b/>
          <w:vertAlign w:val="superscript"/>
        </w:rPr>
      </w:pPr>
      <w:r w:rsidRPr="00034730">
        <w:rPr>
          <w:b/>
        </w:rPr>
        <w:t>на автомобильных дорогах общего пользования местного значения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В разделе отражаются </w:t>
      </w:r>
      <w:r w:rsidR="003A1D5A">
        <w:t>данные</w:t>
      </w:r>
      <w:r w:rsidRPr="00034730">
        <w:t xml:space="preserve"> об основных сооружениях и оборудовании, повышающих безопасность дорожного движения на автомобильных дорогах общего пользования местного значения, независимо от того кому принадлежит право собственности на данные сооружения и оборудование.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301 показывается общее количество автобусных остановок (в штуках). Автобусные остановки показываются  всех видов и конструкций для двух направлений движения раздельно. </w:t>
      </w:r>
    </w:p>
    <w:p w:rsidR="00034730" w:rsidRPr="00034730" w:rsidRDefault="00034730" w:rsidP="00034730">
      <w:pPr>
        <w:ind w:firstLine="709"/>
        <w:jc w:val="both"/>
      </w:pPr>
      <w:r w:rsidRPr="00034730">
        <w:t>Показатели по строкам 302 –305 отражаются в километрах, с точностью до 0,1.</w:t>
      </w:r>
    </w:p>
    <w:p w:rsidR="00034730" w:rsidRPr="00034730" w:rsidRDefault="00034730" w:rsidP="00034730">
      <w:pPr>
        <w:ind w:firstLine="709"/>
        <w:jc w:val="both"/>
      </w:pPr>
      <w:r w:rsidRPr="00034730">
        <w:t xml:space="preserve">По строке 302  показывается общая протяженность линий электроосвещения. В случае размещения электроосвещения на одном километре справа и слева их протяженность складывается. 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303 отражается протяженность транспортных развязок в разных уровнях на пересечениях железнодорожных путей и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304 отражается протяженность транспортных развязок в разных уровнях на пересечениях автомобильных дорог.</w:t>
      </w:r>
    </w:p>
    <w:p w:rsidR="00034730" w:rsidRPr="00034730" w:rsidRDefault="00034730" w:rsidP="00034730">
      <w:pPr>
        <w:ind w:firstLine="709"/>
        <w:jc w:val="both"/>
      </w:pPr>
      <w:r w:rsidRPr="00034730">
        <w:t>По строке 305, в том числе из строки 304 отражается протяженность транспортных развязок в разных уровнях на пересечениях автомобильных дорог с двумя и более путепроводами и тоннелями.</w:t>
      </w:r>
    </w:p>
    <w:p w:rsidR="00034730" w:rsidRPr="00034730" w:rsidRDefault="00034730" w:rsidP="00034730">
      <w:pPr>
        <w:spacing w:before="120" w:after="120"/>
        <w:ind w:firstLine="709"/>
        <w:jc w:val="both"/>
        <w:rPr>
          <w:b/>
          <w:lang w:val="ru-MD"/>
        </w:rPr>
      </w:pPr>
      <w:r w:rsidRPr="00034730">
        <w:rPr>
          <w:b/>
        </w:rPr>
        <w:t xml:space="preserve">Раздел 4. Объекты автогазозаправочной инфраструктуры </w:t>
      </w:r>
      <w:r w:rsidRPr="00034730">
        <w:rPr>
          <w:b/>
          <w:lang w:val="ru-MD"/>
        </w:rPr>
        <w:t>на автомобильных дорогах общего пользования местного значения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разделе </w:t>
      </w:r>
      <w:r w:rsidRPr="00034730">
        <w:rPr>
          <w:b/>
        </w:rPr>
        <w:t>по строке 401</w:t>
      </w:r>
      <w:r w:rsidRPr="00034730">
        <w:t xml:space="preserve"> приводятся </w:t>
      </w:r>
      <w:r w:rsidR="003A1D5A">
        <w:t>данные</w:t>
      </w:r>
      <w:r w:rsidRPr="00034730">
        <w:t xml:space="preserve"> о количестве </w:t>
      </w:r>
      <w:r w:rsidRPr="00034730">
        <w:rPr>
          <w:b/>
        </w:rPr>
        <w:t>автозаправочных станций (АЗС)</w:t>
      </w:r>
      <w:r w:rsidRPr="00034730">
        <w:t xml:space="preserve"> всех форм собственности, независимо от их организационно-правовой формы, расположенных как в придорожной полосе, так и в полосе отвода автомобильных дорог общего пользования местного значения. </w:t>
      </w:r>
      <w:r w:rsidRPr="00034730">
        <w:rPr>
          <w:b/>
        </w:rPr>
        <w:t xml:space="preserve">АЗС </w:t>
      </w:r>
      <w:r w:rsidRPr="00034730">
        <w:t xml:space="preserve">– комплекс оборудования, предназначенный для заправки транспортных средств топливом. </w:t>
      </w:r>
    </w:p>
    <w:p w:rsidR="00034730" w:rsidRPr="00034730" w:rsidRDefault="00034730" w:rsidP="00034730">
      <w:pPr>
        <w:ind w:left="119" w:firstLine="709"/>
        <w:jc w:val="both"/>
        <w:rPr>
          <w:i/>
        </w:rPr>
      </w:pPr>
      <w:r w:rsidRPr="00034730">
        <w:rPr>
          <w:b/>
        </w:rPr>
        <w:t>В итог по строке 401</w:t>
      </w:r>
      <w:r w:rsidRPr="00034730">
        <w:t xml:space="preserve"> включаются данные о количестве заправочных станций, выделяемых по строкам 402 – 406, </w:t>
      </w:r>
      <w:r w:rsidRPr="00034730">
        <w:rPr>
          <w:i/>
        </w:rPr>
        <w:t xml:space="preserve">а также АЗС, на территории которых предусмотрена заправка транспортных средств только жидким моторным топливом (бензин, дизельное топливо). 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Передвижные АЗС, а также АЗС, обслуживающие только организации, по данной строке не отражаются. 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строке 402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многотопливных заправочных станций (МТЗС)</w:t>
      </w:r>
      <w:r w:rsidRPr="00034730">
        <w:t>. 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топливами.</w:t>
      </w:r>
    </w:p>
    <w:p w:rsidR="00034730" w:rsidRPr="00034730" w:rsidRDefault="00034730" w:rsidP="00034730">
      <w:pPr>
        <w:ind w:left="119" w:firstLine="709"/>
        <w:jc w:val="both"/>
      </w:pPr>
      <w:r w:rsidRPr="00034730">
        <w:t xml:space="preserve">В строке 403 указываются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автомобильных газонаполнительных компрессорных станций (АГНКС).</w:t>
      </w:r>
      <w:r w:rsidR="003A1D5A">
        <w:rPr>
          <w:b/>
        </w:rPr>
        <w:br/>
      </w:r>
      <w:r w:rsidRPr="00034730">
        <w:t>АГНКС – обособленный объект заправки (совокупность зданий, сооружений, технологического оборудования и инженерных коммуникаций), предназначенный для производства, накопления и выдачи компримированного природного газа с целью заправки транспорта.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lastRenderedPageBreak/>
        <w:t xml:space="preserve">В строке 404 отражаются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автомобильных газозаправочных станций (АГЗС).</w:t>
      </w:r>
      <w:r w:rsidRPr="00034730">
        <w:t xml:space="preserve"> АГЗС – комплекс оборудования на придорожной территории,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нефтяном газе и имеют соответствующую систему.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 xml:space="preserve">В строке 405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криогенных газозаправочных станций (КриоГЗС). </w:t>
      </w:r>
      <w:r w:rsidRPr="00034730">
        <w:t>КриоГЗС – объект потребления сжиженного природного газа, предназначенный для приема и хранения сжиженного природного газа с последующей заправкой транспортных средств.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 xml:space="preserve">В строке 406 приводятся </w:t>
      </w:r>
      <w:r w:rsidR="003A1D5A">
        <w:t>данные</w:t>
      </w:r>
      <w:r w:rsidRPr="00034730">
        <w:t xml:space="preserve"> о количестве</w:t>
      </w:r>
      <w:r w:rsidRPr="00034730">
        <w:rPr>
          <w:b/>
        </w:rPr>
        <w:t xml:space="preserve"> электрических заправочных станций (ЭЗС).</w:t>
      </w:r>
      <w:r w:rsidRPr="00034730">
        <w:t xml:space="preserve"> Электрическая зарядная станция (колонка) для электротранспорта – электротехническое устройство, оснащенное разъемами и коннекторами, необходимыми 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режимах.</w:t>
      </w:r>
    </w:p>
    <w:p w:rsidR="00034730" w:rsidRPr="00034730" w:rsidRDefault="00034730" w:rsidP="00034730">
      <w:pPr>
        <w:spacing w:line="260" w:lineRule="exact"/>
        <w:ind w:left="119" w:firstLine="709"/>
        <w:jc w:val="both"/>
      </w:pPr>
      <w:r w:rsidRPr="00034730">
        <w:t>Показатели по строкам 401 – 406 отражаются в штуках.</w:t>
      </w:r>
    </w:p>
    <w:p w:rsidR="00034730" w:rsidRPr="00034730" w:rsidRDefault="00034730" w:rsidP="00034730">
      <w:pPr>
        <w:tabs>
          <w:tab w:val="left" w:pos="2127"/>
        </w:tabs>
        <w:spacing w:before="120" w:after="120"/>
        <w:ind w:left="119" w:firstLine="499"/>
        <w:jc w:val="center"/>
        <w:rPr>
          <w:b/>
        </w:rPr>
      </w:pPr>
      <w:r w:rsidRPr="00034730">
        <w:rPr>
          <w:b/>
        </w:rPr>
        <w:t>При заполнении формы необходимо учитывать следующие контроли:</w:t>
      </w: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7525"/>
      </w:tblGrid>
      <w:tr w:rsidR="00034730" w:rsidRPr="00034730">
        <w:tc>
          <w:tcPr>
            <w:tcW w:w="7525" w:type="dxa"/>
          </w:tcPr>
          <w:p w:rsidR="00034730" w:rsidRPr="00034730" w:rsidRDefault="00034730" w:rsidP="00034730">
            <w:pPr>
              <w:spacing w:after="120" w:line="200" w:lineRule="exact"/>
              <w:jc w:val="both"/>
              <w:outlineLvl w:val="5"/>
              <w:rPr>
                <w:b/>
                <w:u w:val="single"/>
              </w:rPr>
            </w:pPr>
            <w:r w:rsidRPr="00034730">
              <w:rPr>
                <w:b/>
                <w:u w:val="single"/>
              </w:rPr>
              <w:t xml:space="preserve">Раздел 1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По графам 4, 5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101 ≥ стр.102 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102 ≥ стр.103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104 ≥ стр.105 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104 </w:t>
            </w:r>
            <w:r w:rsidRPr="00034730">
              <w:sym w:font="Symbol" w:char="F0A3"/>
            </w:r>
            <w:r w:rsidRPr="00034730">
              <w:t xml:space="preserve"> стр.101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105 </w:t>
            </w:r>
            <w:r w:rsidRPr="00034730">
              <w:sym w:font="Symbol" w:char="F0A3"/>
            </w:r>
            <w:r w:rsidRPr="00034730">
              <w:t xml:space="preserve"> стр.102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с  стр. 106 </w:t>
            </w:r>
            <w:r w:rsidRPr="00034730">
              <w:sym w:font="Symbol" w:char="F0A3"/>
            </w:r>
            <w:r w:rsidRPr="00034730">
              <w:t xml:space="preserve"> стр.101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line="200" w:lineRule="exact"/>
              <w:ind w:left="-284"/>
            </w:pPr>
            <w:r w:rsidRPr="00034730">
              <w:t xml:space="preserve">     стр. 107 ≥ стр.108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109 ≥ стр.110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>Песли стр. 101 ≥ 0, то стр. 106 ≥ 0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</w:p>
        </w:tc>
      </w:tr>
      <w:tr w:rsidR="00034730" w:rsidRPr="00034730">
        <w:tc>
          <w:tcPr>
            <w:tcW w:w="7525" w:type="dxa"/>
          </w:tcPr>
          <w:p w:rsidR="00034730" w:rsidRPr="00034730" w:rsidRDefault="00034730" w:rsidP="00034730">
            <w:pPr>
              <w:spacing w:after="120" w:line="200" w:lineRule="exact"/>
              <w:outlineLvl w:val="5"/>
              <w:rPr>
                <w:b/>
                <w:u w:val="single"/>
              </w:rPr>
            </w:pPr>
            <w:r w:rsidRPr="00034730">
              <w:rPr>
                <w:b/>
                <w:u w:val="single"/>
              </w:rPr>
              <w:t>Раздел 2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По графам 4, 5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203 = стр. 205 + стр. 207 + стр. 209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204 = стр. 206 + стр. 208 + стр. 210 </w:t>
            </w:r>
          </w:p>
          <w:p w:rsidR="00034730" w:rsidRPr="00034730" w:rsidRDefault="00034730" w:rsidP="00034730">
            <w:pPr>
              <w:spacing w:line="200" w:lineRule="exact"/>
              <w:ind w:left="-284"/>
            </w:pPr>
            <w:r w:rsidRPr="00034730">
              <w:t xml:space="preserve">     стр. 219 ≥ стр. 221</w:t>
            </w:r>
          </w:p>
          <w:p w:rsidR="00034730" w:rsidRPr="00034730" w:rsidRDefault="00034730" w:rsidP="00034730">
            <w:pPr>
              <w:tabs>
                <w:tab w:val="left" w:pos="1701"/>
              </w:tabs>
              <w:spacing w:after="60" w:line="200" w:lineRule="exact"/>
              <w:ind w:left="-284"/>
            </w:pPr>
            <w:r w:rsidRPr="00034730">
              <w:t xml:space="preserve">     стр. 220 ≥ стр. 222</w:t>
            </w:r>
          </w:p>
          <w:p w:rsidR="00034730" w:rsidRPr="00034730" w:rsidRDefault="00034730" w:rsidP="00034730">
            <w:pPr>
              <w:spacing w:line="200" w:lineRule="exact"/>
              <w:jc w:val="both"/>
            </w:pPr>
            <w:r w:rsidRPr="00034730">
              <w:t>Если стр. 201 (203,</w:t>
            </w:r>
            <w:r w:rsidRPr="00034730">
              <w:rPr>
                <w:lang w:val="ru-MD"/>
              </w:rPr>
              <w:t xml:space="preserve"> </w:t>
            </w:r>
            <w:r w:rsidRPr="00034730">
              <w:t>205, 207,</w:t>
            </w:r>
            <w:r w:rsidRPr="00034730">
              <w:rPr>
                <w:lang w:val="ru-MD"/>
              </w:rPr>
              <w:t xml:space="preserve"> </w:t>
            </w:r>
            <w:r w:rsidRPr="00034730">
              <w:t>209,</w:t>
            </w:r>
            <w:r w:rsidRPr="00034730">
              <w:rPr>
                <w:lang w:val="ru-MD"/>
              </w:rPr>
              <w:t xml:space="preserve"> </w:t>
            </w:r>
            <w:r w:rsidRPr="00034730">
              <w:t>211,</w:t>
            </w:r>
            <w:r w:rsidRPr="00034730">
              <w:rPr>
                <w:lang w:val="ru-MD"/>
              </w:rPr>
              <w:t xml:space="preserve"> 212, 215, 217, 219, 221 </w:t>
            </w:r>
            <w:r w:rsidRPr="00034730">
              <w:t>≥ 0</w:t>
            </w:r>
            <w:r w:rsidRPr="00034730">
              <w:rPr>
                <w:lang w:val="ru-MD"/>
              </w:rPr>
              <w:t>, то</w:t>
            </w:r>
          </w:p>
          <w:p w:rsidR="00034730" w:rsidRPr="00034730" w:rsidRDefault="00034730" w:rsidP="00034730">
            <w:pPr>
              <w:spacing w:line="200" w:lineRule="exact"/>
              <w:jc w:val="both"/>
            </w:pPr>
            <w:r w:rsidRPr="00034730">
              <w:t>стр.202 (204,</w:t>
            </w:r>
            <w:r w:rsidRPr="00034730">
              <w:rPr>
                <w:lang w:val="ru-MD"/>
              </w:rPr>
              <w:t xml:space="preserve"> </w:t>
            </w:r>
            <w:r w:rsidRPr="00034730">
              <w:t>206,</w:t>
            </w:r>
            <w:r w:rsidRPr="00034730">
              <w:rPr>
                <w:lang w:val="ru-MD"/>
              </w:rPr>
              <w:t xml:space="preserve"> </w:t>
            </w:r>
            <w:r w:rsidRPr="00034730">
              <w:t>208,</w:t>
            </w:r>
            <w:r w:rsidRPr="00034730">
              <w:rPr>
                <w:lang w:val="ru-MD"/>
              </w:rPr>
              <w:t xml:space="preserve"> </w:t>
            </w:r>
            <w:r w:rsidRPr="00034730">
              <w:t>210,</w:t>
            </w:r>
            <w:r w:rsidRPr="00034730">
              <w:rPr>
                <w:lang w:val="ru-MD"/>
              </w:rPr>
              <w:t xml:space="preserve"> </w:t>
            </w:r>
            <w:r w:rsidRPr="00034730">
              <w:t>213, 214, 216, 218, 220, 222) ≥ 0</w:t>
            </w:r>
          </w:p>
        </w:tc>
      </w:tr>
    </w:tbl>
    <w:p w:rsidR="00034730" w:rsidRPr="00034730" w:rsidRDefault="00034730" w:rsidP="00034730">
      <w:pPr>
        <w:spacing w:before="120" w:after="120" w:line="200" w:lineRule="exact"/>
        <w:ind w:firstLine="709"/>
        <w:outlineLvl w:val="5"/>
        <w:rPr>
          <w:b/>
          <w:u w:val="single"/>
        </w:rPr>
      </w:pPr>
      <w:r w:rsidRPr="00034730">
        <w:rPr>
          <w:b/>
          <w:u w:val="single"/>
        </w:rPr>
        <w:t>Раздел 3</w:t>
      </w:r>
    </w:p>
    <w:p w:rsidR="00034730" w:rsidRPr="00034730" w:rsidRDefault="00034730" w:rsidP="00034730">
      <w:pPr>
        <w:spacing w:line="200" w:lineRule="exact"/>
        <w:ind w:left="-284"/>
      </w:pPr>
      <w:r w:rsidRPr="00034730">
        <w:t xml:space="preserve">                По графам 4, 5</w:t>
      </w:r>
    </w:p>
    <w:p w:rsidR="00034730" w:rsidRPr="00034730" w:rsidRDefault="00034730" w:rsidP="00034730">
      <w:pPr>
        <w:spacing w:line="200" w:lineRule="exact"/>
        <w:ind w:left="-284" w:firstLine="709"/>
      </w:pPr>
      <w:r w:rsidRPr="00034730">
        <w:t xml:space="preserve">    стр. 304  ≥ стр. 305 </w:t>
      </w:r>
    </w:p>
    <w:p w:rsidR="00034730" w:rsidRPr="00034730" w:rsidRDefault="00034730" w:rsidP="00034730">
      <w:pPr>
        <w:spacing w:before="120" w:after="120" w:line="200" w:lineRule="exact"/>
        <w:ind w:firstLine="709"/>
        <w:outlineLvl w:val="5"/>
        <w:rPr>
          <w:b/>
          <w:u w:val="single"/>
        </w:rPr>
      </w:pPr>
      <w:r w:rsidRPr="00034730">
        <w:rPr>
          <w:b/>
          <w:u w:val="single"/>
        </w:rPr>
        <w:t>Раздел 4</w:t>
      </w:r>
    </w:p>
    <w:p w:rsidR="00034730" w:rsidRPr="00034730" w:rsidRDefault="00034730" w:rsidP="00034730">
      <w:pPr>
        <w:spacing w:line="200" w:lineRule="exact"/>
        <w:ind w:left="-284" w:firstLine="499"/>
      </w:pPr>
      <w:r w:rsidRPr="00034730">
        <w:t xml:space="preserve">        По графам 4, 5</w:t>
      </w:r>
    </w:p>
    <w:p w:rsidR="00034730" w:rsidRPr="00034730" w:rsidRDefault="00034730" w:rsidP="00034730">
      <w:pPr>
        <w:spacing w:line="200" w:lineRule="exact"/>
        <w:ind w:firstLine="499"/>
      </w:pPr>
      <w:r w:rsidRPr="00034730">
        <w:t xml:space="preserve">   стр. 401 ≥ сумме строк 402, 403, 404, 405, 406</w:t>
      </w:r>
    </w:p>
    <w:sectPr w:rsidR="00034730" w:rsidRPr="00034730" w:rsidSect="009A4948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D9" w:rsidRDefault="002C5BD9">
      <w:r>
        <w:separator/>
      </w:r>
    </w:p>
  </w:endnote>
  <w:endnote w:type="continuationSeparator" w:id="0">
    <w:p w:rsidR="002C5BD9" w:rsidRDefault="002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D9" w:rsidRDefault="002C5BD9">
      <w:r>
        <w:separator/>
      </w:r>
    </w:p>
  </w:footnote>
  <w:footnote w:type="continuationSeparator" w:id="0">
    <w:p w:rsidR="002C5BD9" w:rsidRDefault="002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1B" w:rsidRDefault="004C77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771B" w:rsidRDefault="004C771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1B" w:rsidRDefault="004C77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35B9">
      <w:rPr>
        <w:rStyle w:val="a9"/>
        <w:noProof/>
      </w:rPr>
      <w:t>2</w:t>
    </w:r>
    <w:r>
      <w:rPr>
        <w:rStyle w:val="a9"/>
      </w:rPr>
      <w:fldChar w:fldCharType="end"/>
    </w:r>
  </w:p>
  <w:p w:rsidR="004C771B" w:rsidRDefault="004C771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20D2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3E09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DC2C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B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48B8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FEF4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70C2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292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0C3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90C5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B7EB4"/>
    <w:multiLevelType w:val="multilevel"/>
    <w:tmpl w:val="67D4A13E"/>
    <w:lvl w:ilvl="0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8" w15:restartNumberingAfterBreak="0">
    <w:nsid w:val="6A4100FE"/>
    <w:multiLevelType w:val="hybridMultilevel"/>
    <w:tmpl w:val="8902A2F0"/>
    <w:lvl w:ilvl="0" w:tplc="8F24FE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04AD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B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A9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C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1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02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0C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A9A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  <w:num w:numId="24">
    <w:abstractNumId w:val="1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40"/>
    <w:rsid w:val="00015F1F"/>
    <w:rsid w:val="0003269E"/>
    <w:rsid w:val="00034730"/>
    <w:rsid w:val="00045609"/>
    <w:rsid w:val="00060832"/>
    <w:rsid w:val="00061756"/>
    <w:rsid w:val="0008229C"/>
    <w:rsid w:val="000827B5"/>
    <w:rsid w:val="00092760"/>
    <w:rsid w:val="00094C21"/>
    <w:rsid w:val="000B32BB"/>
    <w:rsid w:val="000C023A"/>
    <w:rsid w:val="000C2B2B"/>
    <w:rsid w:val="000C3370"/>
    <w:rsid w:val="000C4B80"/>
    <w:rsid w:val="000D0D19"/>
    <w:rsid w:val="000D50D2"/>
    <w:rsid w:val="000D58F5"/>
    <w:rsid w:val="000E2D37"/>
    <w:rsid w:val="000F4C9D"/>
    <w:rsid w:val="000F55DE"/>
    <w:rsid w:val="001035B7"/>
    <w:rsid w:val="00125CE4"/>
    <w:rsid w:val="00134C3D"/>
    <w:rsid w:val="00144FF5"/>
    <w:rsid w:val="00147327"/>
    <w:rsid w:val="00155A1F"/>
    <w:rsid w:val="00155DFA"/>
    <w:rsid w:val="00174072"/>
    <w:rsid w:val="001A6561"/>
    <w:rsid w:val="001B10C3"/>
    <w:rsid w:val="001C36CF"/>
    <w:rsid w:val="001D1FB7"/>
    <w:rsid w:val="001E6866"/>
    <w:rsid w:val="001F49D6"/>
    <w:rsid w:val="001F5CD4"/>
    <w:rsid w:val="001F6212"/>
    <w:rsid w:val="00201270"/>
    <w:rsid w:val="002033D4"/>
    <w:rsid w:val="00206930"/>
    <w:rsid w:val="00211ECA"/>
    <w:rsid w:val="00225D9F"/>
    <w:rsid w:val="0027035E"/>
    <w:rsid w:val="002862D6"/>
    <w:rsid w:val="00287A36"/>
    <w:rsid w:val="0029288A"/>
    <w:rsid w:val="002A41CC"/>
    <w:rsid w:val="002B3DD8"/>
    <w:rsid w:val="002B4D0F"/>
    <w:rsid w:val="002C2168"/>
    <w:rsid w:val="002C5800"/>
    <w:rsid w:val="002C5BD9"/>
    <w:rsid w:val="002F0F1D"/>
    <w:rsid w:val="002F551D"/>
    <w:rsid w:val="0030458F"/>
    <w:rsid w:val="00304E84"/>
    <w:rsid w:val="00307B9A"/>
    <w:rsid w:val="003139E0"/>
    <w:rsid w:val="00314DA5"/>
    <w:rsid w:val="00315B10"/>
    <w:rsid w:val="003166F5"/>
    <w:rsid w:val="0031676E"/>
    <w:rsid w:val="00325769"/>
    <w:rsid w:val="00326D85"/>
    <w:rsid w:val="00337BB5"/>
    <w:rsid w:val="00344AEA"/>
    <w:rsid w:val="0034744E"/>
    <w:rsid w:val="00354990"/>
    <w:rsid w:val="00370FE1"/>
    <w:rsid w:val="00393828"/>
    <w:rsid w:val="00396BB7"/>
    <w:rsid w:val="003A1D5A"/>
    <w:rsid w:val="003A7D30"/>
    <w:rsid w:val="003C2A8C"/>
    <w:rsid w:val="003E04C0"/>
    <w:rsid w:val="003F4110"/>
    <w:rsid w:val="00410E09"/>
    <w:rsid w:val="00413A33"/>
    <w:rsid w:val="004164AC"/>
    <w:rsid w:val="00430C7D"/>
    <w:rsid w:val="00442593"/>
    <w:rsid w:val="0044280A"/>
    <w:rsid w:val="00446A66"/>
    <w:rsid w:val="00454089"/>
    <w:rsid w:val="00454931"/>
    <w:rsid w:val="00461F6D"/>
    <w:rsid w:val="004634C6"/>
    <w:rsid w:val="00490B82"/>
    <w:rsid w:val="004B1309"/>
    <w:rsid w:val="004B620B"/>
    <w:rsid w:val="004B6F3D"/>
    <w:rsid w:val="004C771B"/>
    <w:rsid w:val="004D1F4C"/>
    <w:rsid w:val="004D4028"/>
    <w:rsid w:val="004E0C3D"/>
    <w:rsid w:val="004E1D97"/>
    <w:rsid w:val="004F2691"/>
    <w:rsid w:val="0050684C"/>
    <w:rsid w:val="00506AE7"/>
    <w:rsid w:val="0051534A"/>
    <w:rsid w:val="00525C1F"/>
    <w:rsid w:val="005266CB"/>
    <w:rsid w:val="0054282F"/>
    <w:rsid w:val="005439E8"/>
    <w:rsid w:val="0054651B"/>
    <w:rsid w:val="00551ABB"/>
    <w:rsid w:val="00553540"/>
    <w:rsid w:val="00556FC6"/>
    <w:rsid w:val="005626D5"/>
    <w:rsid w:val="005718DE"/>
    <w:rsid w:val="005A1FD9"/>
    <w:rsid w:val="005B5AD3"/>
    <w:rsid w:val="005B7BCE"/>
    <w:rsid w:val="005C60E7"/>
    <w:rsid w:val="005F03A8"/>
    <w:rsid w:val="00601CDB"/>
    <w:rsid w:val="00611835"/>
    <w:rsid w:val="00612FD0"/>
    <w:rsid w:val="00626682"/>
    <w:rsid w:val="00630DC1"/>
    <w:rsid w:val="00634FB2"/>
    <w:rsid w:val="006654BD"/>
    <w:rsid w:val="006663D2"/>
    <w:rsid w:val="006831F0"/>
    <w:rsid w:val="00683214"/>
    <w:rsid w:val="00686CE0"/>
    <w:rsid w:val="00687FA7"/>
    <w:rsid w:val="0069274E"/>
    <w:rsid w:val="006968AF"/>
    <w:rsid w:val="006A253C"/>
    <w:rsid w:val="006A3BF5"/>
    <w:rsid w:val="006A4BBB"/>
    <w:rsid w:val="006B1A51"/>
    <w:rsid w:val="006B411C"/>
    <w:rsid w:val="006B49DE"/>
    <w:rsid w:val="006C4DF1"/>
    <w:rsid w:val="006E54A1"/>
    <w:rsid w:val="006E6591"/>
    <w:rsid w:val="006E7B69"/>
    <w:rsid w:val="006F24D6"/>
    <w:rsid w:val="006F48FA"/>
    <w:rsid w:val="00704667"/>
    <w:rsid w:val="00734AD2"/>
    <w:rsid w:val="00740CF3"/>
    <w:rsid w:val="00744117"/>
    <w:rsid w:val="00746E3B"/>
    <w:rsid w:val="007501A8"/>
    <w:rsid w:val="007536DD"/>
    <w:rsid w:val="00767FB6"/>
    <w:rsid w:val="00773CC4"/>
    <w:rsid w:val="00775061"/>
    <w:rsid w:val="00791E41"/>
    <w:rsid w:val="007A4654"/>
    <w:rsid w:val="007B2A59"/>
    <w:rsid w:val="007C391A"/>
    <w:rsid w:val="007C706F"/>
    <w:rsid w:val="007D12C9"/>
    <w:rsid w:val="007E25B4"/>
    <w:rsid w:val="007F7444"/>
    <w:rsid w:val="00802388"/>
    <w:rsid w:val="00821DE2"/>
    <w:rsid w:val="00830FAA"/>
    <w:rsid w:val="008331E7"/>
    <w:rsid w:val="00841FA7"/>
    <w:rsid w:val="008442FC"/>
    <w:rsid w:val="008450FE"/>
    <w:rsid w:val="008464E8"/>
    <w:rsid w:val="0085118C"/>
    <w:rsid w:val="00852C9C"/>
    <w:rsid w:val="00884D1F"/>
    <w:rsid w:val="008875BF"/>
    <w:rsid w:val="008C1923"/>
    <w:rsid w:val="008C2387"/>
    <w:rsid w:val="008D0B98"/>
    <w:rsid w:val="008D2301"/>
    <w:rsid w:val="008E06ED"/>
    <w:rsid w:val="008E24B9"/>
    <w:rsid w:val="008E5143"/>
    <w:rsid w:val="008F373E"/>
    <w:rsid w:val="00904949"/>
    <w:rsid w:val="00910FB9"/>
    <w:rsid w:val="00924F35"/>
    <w:rsid w:val="00932461"/>
    <w:rsid w:val="00933AE0"/>
    <w:rsid w:val="00947244"/>
    <w:rsid w:val="009502E2"/>
    <w:rsid w:val="009507F2"/>
    <w:rsid w:val="00951FB1"/>
    <w:rsid w:val="00952342"/>
    <w:rsid w:val="009620B6"/>
    <w:rsid w:val="009843EE"/>
    <w:rsid w:val="00991C7E"/>
    <w:rsid w:val="009939CD"/>
    <w:rsid w:val="009A11C9"/>
    <w:rsid w:val="009A4948"/>
    <w:rsid w:val="009B0442"/>
    <w:rsid w:val="009B1D21"/>
    <w:rsid w:val="009B2BED"/>
    <w:rsid w:val="009B6C4E"/>
    <w:rsid w:val="009D7F22"/>
    <w:rsid w:val="009E0614"/>
    <w:rsid w:val="009E4013"/>
    <w:rsid w:val="009E5767"/>
    <w:rsid w:val="009F715E"/>
    <w:rsid w:val="00A171EA"/>
    <w:rsid w:val="00A2580D"/>
    <w:rsid w:val="00A45456"/>
    <w:rsid w:val="00A474A6"/>
    <w:rsid w:val="00A65FE3"/>
    <w:rsid w:val="00A70BC4"/>
    <w:rsid w:val="00A741A9"/>
    <w:rsid w:val="00A7555B"/>
    <w:rsid w:val="00A818FA"/>
    <w:rsid w:val="00A81A4F"/>
    <w:rsid w:val="00A836D9"/>
    <w:rsid w:val="00A84866"/>
    <w:rsid w:val="00A867D5"/>
    <w:rsid w:val="00A87EB5"/>
    <w:rsid w:val="00A91099"/>
    <w:rsid w:val="00A93BD7"/>
    <w:rsid w:val="00AA3562"/>
    <w:rsid w:val="00AB4D3E"/>
    <w:rsid w:val="00AC3B43"/>
    <w:rsid w:val="00AD080F"/>
    <w:rsid w:val="00AD6FDA"/>
    <w:rsid w:val="00AE1BC3"/>
    <w:rsid w:val="00AE1DA4"/>
    <w:rsid w:val="00AE5327"/>
    <w:rsid w:val="00AF35B9"/>
    <w:rsid w:val="00AF3CFC"/>
    <w:rsid w:val="00B05D7A"/>
    <w:rsid w:val="00B13EC6"/>
    <w:rsid w:val="00B16B21"/>
    <w:rsid w:val="00B45313"/>
    <w:rsid w:val="00B611F0"/>
    <w:rsid w:val="00B6166C"/>
    <w:rsid w:val="00B6325D"/>
    <w:rsid w:val="00B63D38"/>
    <w:rsid w:val="00B666CE"/>
    <w:rsid w:val="00B73F13"/>
    <w:rsid w:val="00B94C60"/>
    <w:rsid w:val="00B96F7C"/>
    <w:rsid w:val="00BA3E36"/>
    <w:rsid w:val="00BA7936"/>
    <w:rsid w:val="00BB3A21"/>
    <w:rsid w:val="00BC1C38"/>
    <w:rsid w:val="00BD2687"/>
    <w:rsid w:val="00BD7E34"/>
    <w:rsid w:val="00BF3B00"/>
    <w:rsid w:val="00BF5B0B"/>
    <w:rsid w:val="00C01AD4"/>
    <w:rsid w:val="00C04881"/>
    <w:rsid w:val="00C0665C"/>
    <w:rsid w:val="00C20B8E"/>
    <w:rsid w:val="00C2333A"/>
    <w:rsid w:val="00C56258"/>
    <w:rsid w:val="00C61540"/>
    <w:rsid w:val="00C63679"/>
    <w:rsid w:val="00C6456B"/>
    <w:rsid w:val="00C66D67"/>
    <w:rsid w:val="00C76F2C"/>
    <w:rsid w:val="00C7794D"/>
    <w:rsid w:val="00C95083"/>
    <w:rsid w:val="00CD015B"/>
    <w:rsid w:val="00CD3C0F"/>
    <w:rsid w:val="00CF6FF5"/>
    <w:rsid w:val="00D055B8"/>
    <w:rsid w:val="00D0620C"/>
    <w:rsid w:val="00D13616"/>
    <w:rsid w:val="00D24C60"/>
    <w:rsid w:val="00D31379"/>
    <w:rsid w:val="00D34810"/>
    <w:rsid w:val="00D42B7B"/>
    <w:rsid w:val="00D46E1E"/>
    <w:rsid w:val="00D81EC4"/>
    <w:rsid w:val="00D86C3C"/>
    <w:rsid w:val="00D93D0C"/>
    <w:rsid w:val="00DA7197"/>
    <w:rsid w:val="00DB4431"/>
    <w:rsid w:val="00DD47D6"/>
    <w:rsid w:val="00DD75A4"/>
    <w:rsid w:val="00DD79C5"/>
    <w:rsid w:val="00DF027B"/>
    <w:rsid w:val="00E10763"/>
    <w:rsid w:val="00E260D4"/>
    <w:rsid w:val="00E3678F"/>
    <w:rsid w:val="00E46746"/>
    <w:rsid w:val="00E54F85"/>
    <w:rsid w:val="00E72C00"/>
    <w:rsid w:val="00E94902"/>
    <w:rsid w:val="00EA7CCC"/>
    <w:rsid w:val="00EB06A7"/>
    <w:rsid w:val="00EB64F0"/>
    <w:rsid w:val="00EC095E"/>
    <w:rsid w:val="00EF7227"/>
    <w:rsid w:val="00F01AA2"/>
    <w:rsid w:val="00F20128"/>
    <w:rsid w:val="00F21EC3"/>
    <w:rsid w:val="00F22F25"/>
    <w:rsid w:val="00F23279"/>
    <w:rsid w:val="00F24A85"/>
    <w:rsid w:val="00F26A5C"/>
    <w:rsid w:val="00F360ED"/>
    <w:rsid w:val="00F42677"/>
    <w:rsid w:val="00F4295E"/>
    <w:rsid w:val="00F46C99"/>
    <w:rsid w:val="00F46E62"/>
    <w:rsid w:val="00F52D8F"/>
    <w:rsid w:val="00F621A4"/>
    <w:rsid w:val="00F645C6"/>
    <w:rsid w:val="00F77532"/>
    <w:rsid w:val="00F8779D"/>
    <w:rsid w:val="00FA4BF5"/>
    <w:rsid w:val="00FB361C"/>
    <w:rsid w:val="00FC05F0"/>
    <w:rsid w:val="00FD47FF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C4369F6"/>
  <w15:docId w15:val="{E6065E71-04A5-4C18-9246-67483EE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</w:rPr>
  </w:style>
  <w:style w:type="paragraph" w:styleId="1">
    <w:name w:val="heading 1"/>
    <w:aliases w:val="Знак3,Heading 1 Char, Знак3"/>
    <w:basedOn w:val="a3"/>
    <w:next w:val="a3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3"/>
    <w:next w:val="a3"/>
    <w:qFormat/>
    <w:pPr>
      <w:keepNext/>
      <w:spacing w:before="120" w:after="120"/>
      <w:jc w:val="center"/>
      <w:outlineLvl w:val="1"/>
    </w:pPr>
    <w:rPr>
      <w:b/>
    </w:rPr>
  </w:style>
  <w:style w:type="paragraph" w:styleId="31">
    <w:name w:val="heading 3"/>
    <w:basedOn w:val="a3"/>
    <w:next w:val="a3"/>
    <w:qFormat/>
    <w:pPr>
      <w:keepNext/>
      <w:spacing w:before="120" w:after="120"/>
      <w:ind w:firstLine="709"/>
      <w:jc w:val="center"/>
      <w:outlineLvl w:val="2"/>
    </w:pPr>
    <w:rPr>
      <w:b/>
    </w:rPr>
  </w:style>
  <w:style w:type="paragraph" w:styleId="41">
    <w:name w:val="heading 4"/>
    <w:basedOn w:val="a3"/>
    <w:next w:val="a3"/>
    <w:qFormat/>
    <w:pPr>
      <w:keepNext/>
      <w:spacing w:line="360" w:lineRule="auto"/>
      <w:ind w:firstLine="720"/>
      <w:jc w:val="both"/>
      <w:outlineLvl w:val="3"/>
    </w:pPr>
    <w:rPr>
      <w:rFonts w:ascii="Arial" w:hAnsi="Arial"/>
      <w:b/>
      <w:sz w:val="20"/>
    </w:rPr>
  </w:style>
  <w:style w:type="paragraph" w:styleId="51">
    <w:name w:val="heading 5"/>
    <w:basedOn w:val="a3"/>
    <w:next w:val="a3"/>
    <w:qFormat/>
    <w:pPr>
      <w:keepNext/>
      <w:outlineLvl w:val="4"/>
    </w:pPr>
    <w:rPr>
      <w:b/>
      <w:sz w:val="20"/>
    </w:rPr>
  </w:style>
  <w:style w:type="paragraph" w:styleId="6">
    <w:name w:val="heading 6"/>
    <w:basedOn w:val="a3"/>
    <w:next w:val="a3"/>
    <w:qFormat/>
    <w:pPr>
      <w:keepNext/>
      <w:outlineLvl w:val="5"/>
    </w:pPr>
    <w:rPr>
      <w:b/>
      <w:u w:val="single"/>
    </w:rPr>
  </w:style>
  <w:style w:type="paragraph" w:styleId="7">
    <w:name w:val="heading 7"/>
    <w:basedOn w:val="a3"/>
    <w:next w:val="a3"/>
    <w:qFormat/>
    <w:pPr>
      <w:keepNext/>
      <w:ind w:firstLine="720"/>
      <w:jc w:val="center"/>
      <w:outlineLvl w:val="6"/>
    </w:pPr>
    <w:rPr>
      <w:b/>
      <w:color w:val="FF000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абзац-1"/>
    <w:basedOn w:val="a3"/>
    <w:pPr>
      <w:spacing w:line="360" w:lineRule="auto"/>
      <w:ind w:firstLine="709"/>
    </w:pPr>
  </w:style>
  <w:style w:type="paragraph" w:styleId="a7">
    <w:name w:val="header"/>
    <w:basedOn w:val="a3"/>
    <w:link w:val="a8"/>
    <w:pPr>
      <w:tabs>
        <w:tab w:val="center" w:pos="4536"/>
        <w:tab w:val="right" w:pos="9072"/>
      </w:tabs>
    </w:pPr>
  </w:style>
  <w:style w:type="character" w:styleId="a9">
    <w:name w:val="page number"/>
    <w:basedOn w:val="a4"/>
    <w:semiHidden/>
  </w:style>
  <w:style w:type="paragraph" w:styleId="aa">
    <w:name w:val="Body Text"/>
    <w:aliases w:val="Знак1,Заг1"/>
    <w:basedOn w:val="a3"/>
    <w:semiHidden/>
    <w:pPr>
      <w:widowControl w:val="0"/>
      <w:spacing w:after="120"/>
    </w:pPr>
    <w:rPr>
      <w:rFonts w:ascii="Arial" w:hAnsi="Arial"/>
      <w:sz w:val="20"/>
    </w:rPr>
  </w:style>
  <w:style w:type="paragraph" w:styleId="ab">
    <w:name w:val="Plain Text"/>
    <w:basedOn w:val="a3"/>
    <w:link w:val="ac"/>
    <w:semiHidden/>
    <w:rPr>
      <w:rFonts w:ascii="Courier New" w:hAnsi="Courier New"/>
      <w:sz w:val="20"/>
    </w:rPr>
  </w:style>
  <w:style w:type="paragraph" w:customStyle="1" w:styleId="10">
    <w:name w:val="Обычный1"/>
    <w:rPr>
      <w:rFonts w:ascii="Arial" w:hAnsi="Arial"/>
    </w:rPr>
  </w:style>
  <w:style w:type="paragraph" w:styleId="ad">
    <w:name w:val="footer"/>
    <w:basedOn w:val="a3"/>
    <w:semiHidden/>
    <w:pPr>
      <w:tabs>
        <w:tab w:val="center" w:pos="4153"/>
        <w:tab w:val="right" w:pos="8306"/>
      </w:tabs>
    </w:pPr>
  </w:style>
  <w:style w:type="paragraph" w:styleId="ae">
    <w:name w:val="caption"/>
    <w:basedOn w:val="a3"/>
    <w:qFormat/>
    <w:pPr>
      <w:jc w:val="center"/>
    </w:pPr>
    <w:rPr>
      <w:sz w:val="32"/>
    </w:rPr>
  </w:style>
  <w:style w:type="paragraph" w:styleId="32">
    <w:name w:val="Body Text Indent 3"/>
    <w:basedOn w:val="a3"/>
    <w:semiHidden/>
    <w:pPr>
      <w:ind w:firstLine="851"/>
      <w:jc w:val="both"/>
    </w:pPr>
  </w:style>
  <w:style w:type="paragraph" w:styleId="22">
    <w:name w:val="Body Text Indent 2"/>
    <w:basedOn w:val="a3"/>
    <w:semiHidden/>
    <w:pPr>
      <w:spacing w:line="180" w:lineRule="exact"/>
      <w:ind w:firstLine="706"/>
      <w:jc w:val="both"/>
    </w:pPr>
    <w:rPr>
      <w:sz w:val="20"/>
    </w:rPr>
  </w:style>
  <w:style w:type="paragraph" w:styleId="af">
    <w:name w:val="Body Text Indent"/>
    <w:basedOn w:val="a3"/>
    <w:semiHidden/>
    <w:pPr>
      <w:ind w:firstLine="709"/>
      <w:jc w:val="both"/>
    </w:pPr>
    <w:rPr>
      <w:sz w:val="28"/>
    </w:rPr>
  </w:style>
  <w:style w:type="paragraph" w:styleId="af0">
    <w:name w:val="Date"/>
    <w:basedOn w:val="a3"/>
    <w:next w:val="a3"/>
    <w:semiHidden/>
  </w:style>
  <w:style w:type="paragraph" w:customStyle="1" w:styleId="a1">
    <w:name w:val="Абзац_нум"/>
    <w:pPr>
      <w:numPr>
        <w:numId w:val="22"/>
      </w:numPr>
      <w:spacing w:before="120" w:line="312" w:lineRule="auto"/>
      <w:jc w:val="both"/>
    </w:pPr>
    <w:rPr>
      <w:sz w:val="28"/>
    </w:rPr>
  </w:style>
  <w:style w:type="paragraph" w:styleId="a0">
    <w:name w:val="List Bullet"/>
    <w:basedOn w:val="a3"/>
    <w:autoRedefine/>
    <w:semiHidden/>
    <w:pPr>
      <w:numPr>
        <w:numId w:val="12"/>
      </w:numPr>
    </w:pPr>
  </w:style>
  <w:style w:type="paragraph" w:styleId="20">
    <w:name w:val="List Bullet 2"/>
    <w:basedOn w:val="a3"/>
    <w:autoRedefine/>
    <w:semiHidden/>
    <w:pPr>
      <w:numPr>
        <w:numId w:val="13"/>
      </w:numPr>
    </w:pPr>
  </w:style>
  <w:style w:type="paragraph" w:styleId="30">
    <w:name w:val="List Bullet 3"/>
    <w:basedOn w:val="a3"/>
    <w:autoRedefine/>
    <w:semiHidden/>
    <w:pPr>
      <w:numPr>
        <w:numId w:val="14"/>
      </w:numPr>
    </w:pPr>
  </w:style>
  <w:style w:type="paragraph" w:styleId="40">
    <w:name w:val="List Bullet 4"/>
    <w:basedOn w:val="a3"/>
    <w:autoRedefine/>
    <w:semiHidden/>
    <w:pPr>
      <w:numPr>
        <w:numId w:val="15"/>
      </w:numPr>
    </w:pPr>
  </w:style>
  <w:style w:type="paragraph" w:styleId="50">
    <w:name w:val="List Bullet 5"/>
    <w:basedOn w:val="a3"/>
    <w:autoRedefine/>
    <w:semiHidden/>
    <w:pPr>
      <w:numPr>
        <w:numId w:val="16"/>
      </w:numPr>
    </w:pPr>
  </w:style>
  <w:style w:type="paragraph" w:styleId="a">
    <w:name w:val="List Number"/>
    <w:basedOn w:val="a3"/>
    <w:semiHidden/>
    <w:pPr>
      <w:numPr>
        <w:numId w:val="17"/>
      </w:numPr>
    </w:pPr>
  </w:style>
  <w:style w:type="paragraph" w:styleId="2">
    <w:name w:val="List Number 2"/>
    <w:basedOn w:val="a3"/>
    <w:semiHidden/>
    <w:pPr>
      <w:numPr>
        <w:numId w:val="18"/>
      </w:numPr>
    </w:pPr>
  </w:style>
  <w:style w:type="paragraph" w:styleId="3">
    <w:name w:val="List Number 3"/>
    <w:basedOn w:val="a3"/>
    <w:semiHidden/>
    <w:pPr>
      <w:numPr>
        <w:numId w:val="19"/>
      </w:numPr>
    </w:pPr>
  </w:style>
  <w:style w:type="paragraph" w:styleId="4">
    <w:name w:val="List Number 4"/>
    <w:basedOn w:val="a3"/>
    <w:semiHidden/>
    <w:pPr>
      <w:numPr>
        <w:numId w:val="20"/>
      </w:numPr>
    </w:pPr>
  </w:style>
  <w:style w:type="paragraph" w:styleId="5">
    <w:name w:val="List Number 5"/>
    <w:basedOn w:val="a3"/>
    <w:semiHidden/>
    <w:pPr>
      <w:numPr>
        <w:numId w:val="21"/>
      </w:numPr>
    </w:pPr>
  </w:style>
  <w:style w:type="paragraph" w:customStyle="1" w:styleId="a2">
    <w:name w:val="Пункт"/>
    <w:basedOn w:val="a3"/>
    <w:next w:val="a3"/>
    <w:pPr>
      <w:widowControl w:val="0"/>
      <w:numPr>
        <w:ilvl w:val="1"/>
        <w:numId w:val="23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styleId="af1">
    <w:name w:val="endnote text"/>
    <w:basedOn w:val="a3"/>
    <w:link w:val="af2"/>
    <w:rPr>
      <w:sz w:val="20"/>
    </w:rPr>
  </w:style>
  <w:style w:type="paragraph" w:customStyle="1" w:styleId="11">
    <w:name w:val="Стиль1"/>
    <w:basedOn w:val="a3"/>
    <w:pPr>
      <w:spacing w:line="360" w:lineRule="auto"/>
      <w:ind w:firstLine="709"/>
      <w:jc w:val="both"/>
    </w:pPr>
    <w:rPr>
      <w:rFonts w:ascii="Arial" w:hAnsi="Arial"/>
    </w:rPr>
  </w:style>
  <w:style w:type="paragraph" w:styleId="af3">
    <w:name w:val="Block Text"/>
    <w:basedOn w:val="a3"/>
    <w:semiHidden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</w:rPr>
  </w:style>
  <w:style w:type="character" w:styleId="af4">
    <w:name w:val="Strong"/>
    <w:qFormat/>
    <w:rsid w:val="00F20128"/>
    <w:rPr>
      <w:b/>
      <w:bCs/>
    </w:rPr>
  </w:style>
  <w:style w:type="paragraph" w:styleId="af5">
    <w:name w:val="Balloon Text"/>
    <w:basedOn w:val="a3"/>
    <w:link w:val="af6"/>
    <w:uiPriority w:val="99"/>
    <w:semiHidden/>
    <w:unhideWhenUsed/>
    <w:rsid w:val="00F46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46C99"/>
    <w:rPr>
      <w:rFonts w:ascii="Tahoma" w:hAnsi="Tahoma" w:cs="Tahoma"/>
      <w:sz w:val="16"/>
      <w:szCs w:val="16"/>
    </w:rPr>
  </w:style>
  <w:style w:type="paragraph" w:styleId="af7">
    <w:name w:val="footnote text"/>
    <w:basedOn w:val="a3"/>
    <w:link w:val="af8"/>
    <w:unhideWhenUsed/>
    <w:rsid w:val="00E72C00"/>
    <w:rPr>
      <w:sz w:val="20"/>
    </w:rPr>
  </w:style>
  <w:style w:type="character" w:customStyle="1" w:styleId="af8">
    <w:name w:val="Текст сноски Знак"/>
    <w:basedOn w:val="a4"/>
    <w:link w:val="af7"/>
    <w:rsid w:val="00E72C00"/>
  </w:style>
  <w:style w:type="character" w:styleId="af9">
    <w:name w:val="footnote reference"/>
    <w:uiPriority w:val="99"/>
    <w:semiHidden/>
    <w:unhideWhenUsed/>
    <w:rsid w:val="00E72C00"/>
    <w:rPr>
      <w:vertAlign w:val="superscript"/>
    </w:rPr>
  </w:style>
  <w:style w:type="character" w:customStyle="1" w:styleId="a8">
    <w:name w:val="Верхний колонтитул Знак"/>
    <w:link w:val="a7"/>
    <w:rsid w:val="00094C21"/>
    <w:rPr>
      <w:sz w:val="24"/>
    </w:rPr>
  </w:style>
  <w:style w:type="character" w:customStyle="1" w:styleId="af2">
    <w:name w:val="Текст концевой сноски Знак"/>
    <w:link w:val="af1"/>
    <w:rsid w:val="00094C21"/>
  </w:style>
  <w:style w:type="character" w:customStyle="1" w:styleId="ac">
    <w:name w:val="Текст Знак"/>
    <w:link w:val="ab"/>
    <w:semiHidden/>
    <w:rsid w:val="006654BD"/>
    <w:rPr>
      <w:rFonts w:ascii="Courier New" w:hAnsi="Courier New"/>
    </w:rPr>
  </w:style>
  <w:style w:type="character" w:styleId="afa">
    <w:name w:val="Hyperlink"/>
    <w:unhideWhenUsed/>
    <w:rsid w:val="00E54F85"/>
    <w:rPr>
      <w:color w:val="0000FF"/>
      <w:u w:val="single"/>
    </w:rPr>
  </w:style>
  <w:style w:type="paragraph" w:customStyle="1" w:styleId="ConsPlusNormal">
    <w:name w:val="ConsPlusNormal"/>
    <w:basedOn w:val="a3"/>
    <w:rsid w:val="00DD75A4"/>
    <w:pPr>
      <w:autoSpaceDE w:val="0"/>
      <w:autoSpaceDN w:val="0"/>
    </w:pPr>
    <w:rPr>
      <w:rFonts w:eastAsia="Calibr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Элемент</cp:lastModifiedBy>
  <cp:revision>4</cp:revision>
  <cp:lastPrinted>2021-02-01T07:05:00Z</cp:lastPrinted>
  <dcterms:created xsi:type="dcterms:W3CDTF">2021-01-28T02:42:00Z</dcterms:created>
  <dcterms:modified xsi:type="dcterms:W3CDTF">2021-02-01T07:06:00Z</dcterms:modified>
</cp:coreProperties>
</file>