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354F7B">
        <w:rPr>
          <w:b/>
          <w:color w:val="000000"/>
          <w:sz w:val="28"/>
          <w:szCs w:val="28"/>
        </w:rPr>
        <w:t>БУДАГОВСКОГО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AD2F78" w:rsidRDefault="00AD2F78" w:rsidP="00AD2F78">
      <w:pPr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</w:t>
      </w:r>
      <w:r w:rsidR="008A048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» октября 2025 года                                                                          № 105</w:t>
      </w:r>
    </w:p>
    <w:p w:rsidR="00AD2F78" w:rsidRDefault="00AD2F78" w:rsidP="00AD2F78">
      <w:pPr>
        <w:contextualSpacing/>
        <w:rPr>
          <w:b/>
          <w:color w:val="000000"/>
          <w:sz w:val="28"/>
          <w:szCs w:val="28"/>
        </w:rPr>
      </w:pPr>
    </w:p>
    <w:p w:rsidR="00AD2F78" w:rsidRPr="00E86089" w:rsidRDefault="00AD2F78" w:rsidP="00AD2F78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Будагово</w:t>
      </w: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354F7B">
        <w:rPr>
          <w:rFonts w:ascii="Times New Roman" w:hAnsi="Times New Roman" w:cs="Times New Roman"/>
          <w:i/>
          <w:sz w:val="28"/>
          <w:szCs w:val="28"/>
        </w:rPr>
        <w:t>Будаговского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354F7B">
        <w:rPr>
          <w:sz w:val="28"/>
          <w:szCs w:val="28"/>
        </w:rPr>
        <w:t>Будаговского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354F7B">
        <w:rPr>
          <w:sz w:val="28"/>
          <w:szCs w:val="28"/>
        </w:rPr>
        <w:t>Будаговского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354F7B">
        <w:rPr>
          <w:kern w:val="2"/>
          <w:sz w:val="28"/>
          <w:szCs w:val="28"/>
        </w:rPr>
        <w:t>Будаговского</w:t>
      </w:r>
      <w:r w:rsidR="00D85A95">
        <w:rPr>
          <w:kern w:val="2"/>
          <w:sz w:val="28"/>
          <w:szCs w:val="28"/>
        </w:rPr>
        <w:t xml:space="preserve"> сельского поселения</w:t>
      </w:r>
      <w:r w:rsidRPr="00355B4D">
        <w:rPr>
          <w:kern w:val="2"/>
          <w:sz w:val="28"/>
          <w:szCs w:val="28"/>
        </w:rPr>
        <w:t>.</w:t>
      </w:r>
    </w:p>
    <w:p w:rsidR="00134014" w:rsidRPr="00D85A95" w:rsidRDefault="00134014" w:rsidP="00134014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>
        <w:rPr>
          <w:kern w:val="2"/>
          <w:sz w:val="28"/>
          <w:szCs w:val="28"/>
        </w:rPr>
        <w:t>Будаговского</w:t>
      </w:r>
      <w:r w:rsidRPr="00D85A95">
        <w:rPr>
          <w:kern w:val="2"/>
          <w:sz w:val="28"/>
          <w:szCs w:val="28"/>
        </w:rPr>
        <w:t xml:space="preserve"> сельского поселения от </w:t>
      </w:r>
      <w:r w:rsidRPr="00C27D37">
        <w:rPr>
          <w:kern w:val="2"/>
          <w:sz w:val="28"/>
          <w:szCs w:val="28"/>
        </w:rPr>
        <w:t xml:space="preserve">28.06.2016 года № 84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>
        <w:rPr>
          <w:bCs/>
          <w:color w:val="000000"/>
          <w:sz w:val="28"/>
          <w:szCs w:val="28"/>
          <w:bdr w:val="none" w:sz="0" w:space="0" w:color="auto" w:frame="1"/>
        </w:rPr>
        <w:t>Будаговском</w:t>
      </w:r>
      <w:r w:rsidRPr="00D85A95">
        <w:rPr>
          <w:color w:val="000000"/>
          <w:sz w:val="28"/>
          <w:szCs w:val="28"/>
        </w:rPr>
        <w:t> 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354F7B">
        <w:rPr>
          <w:sz w:val="28"/>
          <w:szCs w:val="28"/>
        </w:rPr>
        <w:t>Будаговский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354F7B">
        <w:rPr>
          <w:sz w:val="28"/>
          <w:szCs w:val="28"/>
        </w:rPr>
        <w:t>Будаговского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4F7B">
        <w:rPr>
          <w:sz w:val="28"/>
          <w:szCs w:val="28"/>
        </w:rPr>
        <w:t>Будаговского</w:t>
      </w:r>
      <w:r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</w:t>
      </w:r>
      <w:r w:rsidR="00354F7B">
        <w:rPr>
          <w:sz w:val="28"/>
          <w:szCs w:val="28"/>
        </w:rPr>
        <w:t xml:space="preserve">         Т.Ю. Кириенко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354F7B">
              <w:rPr>
                <w:kern w:val="2"/>
                <w:sz w:val="28"/>
                <w:szCs w:val="28"/>
              </w:rPr>
              <w:t>Будаговского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AD2F78" w:rsidP="008A04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 «2</w:t>
            </w:r>
            <w:r w:rsidR="008A048D">
              <w:rPr>
                <w:kern w:val="2"/>
                <w:sz w:val="28"/>
                <w:szCs w:val="28"/>
              </w:rPr>
              <w:t>8</w:t>
            </w:r>
            <w:r w:rsidR="00C13973" w:rsidRPr="00355B4D">
              <w:rPr>
                <w:kern w:val="2"/>
                <w:sz w:val="28"/>
                <w:szCs w:val="28"/>
              </w:rPr>
              <w:t xml:space="preserve">» </w:t>
            </w:r>
            <w:r>
              <w:rPr>
                <w:kern w:val="2"/>
                <w:sz w:val="28"/>
                <w:szCs w:val="28"/>
              </w:rPr>
              <w:t>октября</w:t>
            </w:r>
            <w:r w:rsidR="00C13973"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="00C13973"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105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  <w:bookmarkStart w:id="0" w:name="_GoBack"/>
      <w:bookmarkEnd w:id="0"/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354F7B">
        <w:rPr>
          <w:rFonts w:ascii="Times New Roman" w:hAnsi="Times New Roman" w:cs="Times New Roman"/>
          <w:sz w:val="28"/>
          <w:szCs w:val="28"/>
        </w:rPr>
        <w:t>БУДАГОВСКОГО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354F7B">
        <w:rPr>
          <w:rFonts w:ascii="Times New Roman" w:hAnsi="Times New Roman" w:cs="Times New Roman"/>
          <w:sz w:val="28"/>
          <w:szCs w:val="28"/>
        </w:rPr>
        <w:t>Будаговского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354F7B">
        <w:rPr>
          <w:rFonts w:ascii="Times New Roman" w:hAnsi="Times New Roman" w:cs="Times New Roman"/>
          <w:sz w:val="28"/>
          <w:szCs w:val="28"/>
        </w:rPr>
        <w:t>Будаговского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354F7B">
        <w:rPr>
          <w:rFonts w:ascii="Times New Roman" w:hAnsi="Times New Roman" w:cs="Times New Roman"/>
          <w:sz w:val="28"/>
          <w:szCs w:val="28"/>
        </w:rPr>
        <w:t>Будаговского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354F7B">
        <w:rPr>
          <w:rFonts w:ascii="Times New Roman" w:hAnsi="Times New Roman" w:cs="Times New Roman"/>
          <w:sz w:val="28"/>
          <w:szCs w:val="28"/>
        </w:rPr>
        <w:t>Будаговского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https://edogon.mo38.ru/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354F7B">
        <w:rPr>
          <w:sz w:val="28"/>
          <w:szCs w:val="28"/>
        </w:rPr>
        <w:t>Будаговского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83" w:rsidRDefault="00D00E83" w:rsidP="00E41749">
      <w:r>
        <w:separator/>
      </w:r>
    </w:p>
  </w:endnote>
  <w:endnote w:type="continuationSeparator" w:id="0">
    <w:p w:rsidR="00D00E83" w:rsidRDefault="00D00E83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83" w:rsidRDefault="00D00E83" w:rsidP="00E41749">
      <w:r>
        <w:separator/>
      </w:r>
    </w:p>
  </w:footnote>
  <w:footnote w:type="continuationSeparator" w:id="0">
    <w:p w:rsidR="00D00E83" w:rsidRDefault="00D00E83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4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014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4F7B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5932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48D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2F78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035E3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747C7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00E8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3203"/>
  <w15:docId w15:val="{BD2B6E9E-CC7C-479E-8DA0-021EA553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653F-4CE2-4BEC-8D62-509B874F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11</cp:revision>
  <cp:lastPrinted>2025-10-22T01:16:00Z</cp:lastPrinted>
  <dcterms:created xsi:type="dcterms:W3CDTF">2025-07-21T03:01:00Z</dcterms:created>
  <dcterms:modified xsi:type="dcterms:W3CDTF">2025-10-29T01:11:00Z</dcterms:modified>
</cp:coreProperties>
</file>