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7954A4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Будаговского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7954A4">
              <w:rPr>
                <w:b/>
                <w:sz w:val="28"/>
                <w:szCs w:val="28"/>
              </w:rPr>
              <w:t>27.02.2026</w:t>
            </w:r>
            <w:r w:rsidR="00CD42B3" w:rsidRPr="007954A4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478" w:type="dxa"/>
          </w:tcPr>
          <w:p w:rsidR="001E3EEC" w:rsidRPr="00CD42B3" w:rsidRDefault="00CD42B3" w:rsidP="007954A4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7954A4">
              <w:rPr>
                <w:b/>
                <w:spacing w:val="-2"/>
                <w:sz w:val="28"/>
                <w:szCs w:val="28"/>
              </w:rPr>
              <w:t>9 - Р</w:t>
            </w:r>
          </w:p>
        </w:tc>
      </w:tr>
    </w:tbl>
    <w:p w:rsidR="001E3EEC" w:rsidRPr="00CD42B3" w:rsidRDefault="007954A4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Будагово</w:t>
      </w:r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7954A4">
        <w:rPr>
          <w:b/>
          <w:i/>
          <w:sz w:val="28"/>
          <w:szCs w:val="28"/>
        </w:rPr>
        <w:t>Будаговского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7954A4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7954A4">
        <w:rPr>
          <w:sz w:val="28"/>
          <w:szCs w:val="28"/>
        </w:rPr>
        <w:t>от 26 декабря 202</w:t>
      </w:r>
      <w:r w:rsidR="007954A4" w:rsidRPr="007954A4">
        <w:rPr>
          <w:sz w:val="28"/>
          <w:szCs w:val="28"/>
        </w:rPr>
        <w:t>5</w:t>
      </w:r>
      <w:r w:rsidR="00BB3BF9" w:rsidRPr="007954A4">
        <w:rPr>
          <w:sz w:val="28"/>
          <w:szCs w:val="28"/>
        </w:rPr>
        <w:t xml:space="preserve"> года № 1075 </w:t>
      </w:r>
      <w:proofErr w:type="spellStart"/>
      <w:r w:rsidR="00BB3BF9" w:rsidRPr="007954A4">
        <w:rPr>
          <w:sz w:val="28"/>
          <w:szCs w:val="28"/>
        </w:rPr>
        <w:t>пп</w:t>
      </w:r>
      <w:proofErr w:type="spellEnd"/>
      <w:r w:rsidR="00BB3BF9" w:rsidRPr="007954A4">
        <w:rPr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7954A4">
        <w:rPr>
          <w:sz w:val="28"/>
          <w:szCs w:val="28"/>
        </w:rPr>
        <w:t xml:space="preserve">, Уставом </w:t>
      </w:r>
      <w:r w:rsidR="007954A4" w:rsidRPr="007954A4">
        <w:rPr>
          <w:sz w:val="28"/>
          <w:szCs w:val="28"/>
        </w:rPr>
        <w:t>Будаговского</w:t>
      </w:r>
      <w:r w:rsidR="00156B15" w:rsidRPr="007954A4">
        <w:rPr>
          <w:sz w:val="28"/>
          <w:szCs w:val="28"/>
        </w:rPr>
        <w:t xml:space="preserve"> муниципального образования</w:t>
      </w:r>
      <w:r w:rsidR="00802275" w:rsidRPr="007954A4">
        <w:rPr>
          <w:sz w:val="28"/>
          <w:szCs w:val="28"/>
        </w:rPr>
        <w:t xml:space="preserve">: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Pr="007954A4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7954A4">
        <w:rPr>
          <w:sz w:val="28"/>
          <w:szCs w:val="28"/>
        </w:rPr>
        <w:t>Будаговского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 xml:space="preserve">на </w:t>
      </w:r>
      <w:r w:rsidR="0001690F" w:rsidRPr="007954A4">
        <w:rPr>
          <w:sz w:val="28"/>
          <w:szCs w:val="28"/>
        </w:rPr>
        <w:t>202</w:t>
      </w:r>
      <w:r w:rsidR="00BB3BF9" w:rsidRPr="007954A4">
        <w:rPr>
          <w:sz w:val="28"/>
          <w:szCs w:val="28"/>
        </w:rPr>
        <w:t>6</w:t>
      </w:r>
      <w:r w:rsidR="0001690F" w:rsidRPr="007954A4">
        <w:rPr>
          <w:sz w:val="28"/>
          <w:szCs w:val="28"/>
        </w:rPr>
        <w:t xml:space="preserve"> год</w:t>
      </w:r>
      <w:r w:rsidR="000B0ADE" w:rsidRPr="007954A4">
        <w:rPr>
          <w:sz w:val="28"/>
          <w:szCs w:val="28"/>
        </w:rPr>
        <w:t>.</w:t>
      </w:r>
    </w:p>
    <w:p w:rsidR="00D90505" w:rsidRPr="007954A4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 w:rsidRPr="007954A4">
        <w:rPr>
          <w:sz w:val="28"/>
          <w:szCs w:val="28"/>
        </w:rPr>
        <w:t xml:space="preserve">2. </w:t>
      </w:r>
      <w:r w:rsidR="00906C87" w:rsidRPr="007954A4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 w:rsidRPr="007954A4">
        <w:rPr>
          <w:sz w:val="28"/>
          <w:szCs w:val="28"/>
        </w:rPr>
        <w:t>января</w:t>
      </w:r>
      <w:r w:rsidR="00906C87" w:rsidRPr="007954A4">
        <w:rPr>
          <w:sz w:val="28"/>
          <w:szCs w:val="28"/>
        </w:rPr>
        <w:t xml:space="preserve"> 202</w:t>
      </w:r>
      <w:r w:rsidR="00BB3BF9" w:rsidRPr="007954A4">
        <w:rPr>
          <w:sz w:val="28"/>
          <w:szCs w:val="28"/>
        </w:rPr>
        <w:t>6</w:t>
      </w:r>
      <w:r w:rsidR="00906C87" w:rsidRPr="007954A4">
        <w:rPr>
          <w:sz w:val="28"/>
          <w:szCs w:val="28"/>
        </w:rPr>
        <w:t xml:space="preserve"> года.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Pr="00526A06">
        <w:rPr>
          <w:sz w:val="28"/>
          <w:szCs w:val="28"/>
        </w:rPr>
        <w:t>в газете «</w:t>
      </w:r>
      <w:r w:rsidR="007954A4">
        <w:rPr>
          <w:sz w:val="28"/>
          <w:szCs w:val="28"/>
        </w:rPr>
        <w:t>Будаговский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7954A4">
        <w:rPr>
          <w:sz w:val="28"/>
          <w:szCs w:val="28"/>
        </w:rPr>
        <w:t>Будаговского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7954A4">
        <w:rPr>
          <w:spacing w:val="-5"/>
          <w:sz w:val="28"/>
          <w:szCs w:val="28"/>
        </w:rPr>
        <w:t>Будаговского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</w:t>
      </w:r>
      <w:r w:rsidR="007954A4">
        <w:rPr>
          <w:sz w:val="28"/>
          <w:szCs w:val="28"/>
        </w:rPr>
        <w:t xml:space="preserve">                                   Т.Ю. Кириенко</w:t>
      </w:r>
      <w:r w:rsidR="00526A06">
        <w:rPr>
          <w:sz w:val="28"/>
          <w:szCs w:val="28"/>
        </w:rPr>
        <w:t xml:space="preserve">                              </w:t>
      </w:r>
      <w:r w:rsidR="007954A4">
        <w:rPr>
          <w:sz w:val="28"/>
          <w:szCs w:val="28"/>
        </w:rPr>
        <w:t xml:space="preserve">                  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</w:t>
      </w:r>
      <w:r w:rsidR="00F20AA4">
        <w:rPr>
          <w:sz w:val="20"/>
          <w:szCs w:val="20"/>
        </w:rPr>
        <w:t>распряжению</w:t>
      </w:r>
      <w:bookmarkStart w:id="0" w:name="_GoBack"/>
      <w:bookmarkEnd w:id="0"/>
      <w:r w:rsidRPr="00A433BB">
        <w:rPr>
          <w:sz w:val="20"/>
          <w:szCs w:val="20"/>
        </w:rPr>
        <w:t xml:space="preserve"> администрации </w:t>
      </w:r>
    </w:p>
    <w:p w:rsidR="00526A06" w:rsidRPr="00A433BB" w:rsidRDefault="007954A4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Будаговского</w:t>
      </w:r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7954A4">
        <w:rPr>
          <w:sz w:val="20"/>
          <w:szCs w:val="20"/>
        </w:rPr>
        <w:t>от</w:t>
      </w:r>
      <w:r w:rsidRPr="007954A4">
        <w:rPr>
          <w:spacing w:val="-5"/>
          <w:sz w:val="20"/>
          <w:szCs w:val="20"/>
        </w:rPr>
        <w:t xml:space="preserve"> </w:t>
      </w:r>
      <w:r w:rsidR="00BB3BF9" w:rsidRPr="007954A4">
        <w:rPr>
          <w:sz w:val="20"/>
          <w:szCs w:val="20"/>
        </w:rPr>
        <w:t>27</w:t>
      </w:r>
      <w:r w:rsidR="00866535" w:rsidRPr="007954A4">
        <w:rPr>
          <w:sz w:val="20"/>
          <w:szCs w:val="20"/>
        </w:rPr>
        <w:t>.0</w:t>
      </w:r>
      <w:r w:rsidR="007954A4" w:rsidRPr="007954A4">
        <w:rPr>
          <w:sz w:val="20"/>
          <w:szCs w:val="20"/>
        </w:rPr>
        <w:t>2</w:t>
      </w:r>
      <w:r w:rsidR="00866535" w:rsidRPr="007954A4">
        <w:rPr>
          <w:sz w:val="20"/>
          <w:szCs w:val="20"/>
        </w:rPr>
        <w:t>.</w:t>
      </w:r>
      <w:r w:rsidR="00BB3BF9" w:rsidRPr="007954A4">
        <w:rPr>
          <w:sz w:val="20"/>
          <w:szCs w:val="20"/>
        </w:rPr>
        <w:t>2026</w:t>
      </w:r>
      <w:r w:rsidR="00526A06" w:rsidRPr="007954A4">
        <w:rPr>
          <w:sz w:val="20"/>
          <w:szCs w:val="20"/>
        </w:rPr>
        <w:t xml:space="preserve"> г</w:t>
      </w:r>
      <w:r w:rsidRPr="007954A4">
        <w:rPr>
          <w:sz w:val="20"/>
          <w:szCs w:val="20"/>
        </w:rPr>
        <w:t>.</w:t>
      </w:r>
      <w:r w:rsidRPr="007954A4">
        <w:rPr>
          <w:spacing w:val="-4"/>
          <w:sz w:val="20"/>
          <w:szCs w:val="20"/>
        </w:rPr>
        <w:t xml:space="preserve"> </w:t>
      </w:r>
      <w:r w:rsidRPr="007954A4">
        <w:rPr>
          <w:sz w:val="20"/>
          <w:szCs w:val="20"/>
        </w:rPr>
        <w:t>№</w:t>
      </w:r>
      <w:r w:rsidR="00526A06" w:rsidRPr="007954A4">
        <w:rPr>
          <w:sz w:val="20"/>
          <w:szCs w:val="20"/>
        </w:rPr>
        <w:t xml:space="preserve"> </w:t>
      </w:r>
      <w:r w:rsidR="007954A4" w:rsidRPr="007954A4">
        <w:rPr>
          <w:sz w:val="20"/>
          <w:szCs w:val="20"/>
        </w:rPr>
        <w:t>9 - Р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7954A4">
        <w:rPr>
          <w:b/>
          <w:sz w:val="20"/>
          <w:szCs w:val="20"/>
        </w:rPr>
        <w:t>Будаговского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>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BB3BF9">
              <w:rPr>
                <w:sz w:val="20"/>
                <w:szCs w:val="20"/>
              </w:rPr>
              <w:t>202</w:t>
            </w:r>
            <w:r w:rsidR="00605840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7954A4">
              <w:rPr>
                <w:sz w:val="20"/>
                <w:szCs w:val="20"/>
              </w:rPr>
              <w:t>Будаговского</w:t>
            </w:r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7954A4">
              <w:rPr>
                <w:sz w:val="20"/>
                <w:szCs w:val="20"/>
              </w:rPr>
              <w:t>Будаговского</w:t>
            </w:r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 xml:space="preserve">Тулунского муниципального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района</w:t>
            </w:r>
            <w:r w:rsidR="00B86F53">
              <w:rPr>
                <w:rFonts w:eastAsia="Calibri"/>
                <w:sz w:val="20"/>
                <w:szCs w:val="20"/>
              </w:rPr>
              <w:t>т</w:t>
            </w:r>
            <w:proofErr w:type="spellEnd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r w:rsidR="007954A4">
              <w:rPr>
                <w:sz w:val="20"/>
                <w:szCs w:val="20"/>
              </w:rPr>
              <w:t>Будаговского</w:t>
            </w:r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60584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BB3BF9">
              <w:rPr>
                <w:sz w:val="20"/>
                <w:szCs w:val="20"/>
              </w:rPr>
              <w:t>202</w:t>
            </w:r>
            <w:r w:rsidR="00605840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7954A4">
              <w:rPr>
                <w:color w:val="000000" w:themeColor="text1"/>
                <w:sz w:val="20"/>
                <w:szCs w:val="20"/>
              </w:rPr>
              <w:t>Будаговского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7954A4">
              <w:rPr>
                <w:sz w:val="20"/>
                <w:szCs w:val="20"/>
              </w:rPr>
              <w:t>Будаговского</w:t>
            </w:r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 w:rsidR="007954A4">
              <w:rPr>
                <w:sz w:val="20"/>
                <w:szCs w:val="20"/>
              </w:rPr>
              <w:t>Будаговского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</w:t>
            </w:r>
            <w:r w:rsidRPr="00464C00">
              <w:rPr>
                <w:color w:val="FF0000"/>
                <w:sz w:val="20"/>
                <w:szCs w:val="20"/>
              </w:rPr>
              <w:t xml:space="preserve">на </w:t>
            </w:r>
            <w:r w:rsidR="00BB3BF9" w:rsidRPr="00464C00">
              <w:rPr>
                <w:color w:val="FF0000"/>
                <w:sz w:val="20"/>
                <w:szCs w:val="20"/>
              </w:rPr>
              <w:t>2026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B86F53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годов</w:t>
            </w:r>
            <w:r w:rsidR="00893B49" w:rsidRPr="00464C00">
              <w:rPr>
                <w:color w:val="FF0000"/>
                <w:sz w:val="20"/>
                <w:szCs w:val="20"/>
              </w:rPr>
              <w:t>;</w:t>
            </w:r>
          </w:p>
          <w:p w:rsidR="00893B49" w:rsidRPr="00464C00" w:rsidRDefault="00893B49" w:rsidP="00893B4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r w:rsidR="007954A4">
              <w:rPr>
                <w:sz w:val="20"/>
                <w:szCs w:val="20"/>
              </w:rPr>
              <w:t>Будаговского</w:t>
            </w:r>
            <w:r w:rsidRPr="00464C00">
              <w:rPr>
                <w:sz w:val="20"/>
                <w:szCs w:val="20"/>
              </w:rPr>
              <w:t xml:space="preserve"> сельского поселения </w:t>
            </w:r>
            <w:r w:rsidRPr="00464C00">
              <w:rPr>
                <w:color w:val="FF0000"/>
                <w:sz w:val="20"/>
                <w:szCs w:val="20"/>
              </w:rPr>
              <w:t>на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464C00" w:rsidRPr="00464C00">
              <w:rPr>
                <w:color w:val="FF0000"/>
                <w:sz w:val="20"/>
                <w:szCs w:val="20"/>
              </w:rPr>
              <w:t>9</w:t>
            </w:r>
            <w:r w:rsidRPr="00464C00">
              <w:rPr>
                <w:color w:val="FF0000"/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7954A4">
              <w:rPr>
                <w:sz w:val="20"/>
                <w:szCs w:val="20"/>
              </w:rPr>
              <w:t>Будаговского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7954A4">
              <w:rPr>
                <w:sz w:val="20"/>
                <w:szCs w:val="20"/>
              </w:rPr>
              <w:t>Будаговского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7954A4">
              <w:rPr>
                <w:sz w:val="20"/>
                <w:szCs w:val="20"/>
              </w:rPr>
              <w:t>Будаговского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="007954A4">
              <w:rPr>
                <w:sz w:val="20"/>
                <w:szCs w:val="20"/>
              </w:rPr>
              <w:t>Будаговского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 w:rsidR="007954A4">
              <w:rPr>
                <w:sz w:val="20"/>
                <w:szCs w:val="20"/>
              </w:rPr>
              <w:t>Будаговского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F56A6"/>
    <w:rsid w:val="003812D8"/>
    <w:rsid w:val="003C399D"/>
    <w:rsid w:val="003D4222"/>
    <w:rsid w:val="00413864"/>
    <w:rsid w:val="00416EB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05840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954A4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2970"/>
    <w:rsid w:val="00C14B12"/>
    <w:rsid w:val="00C15D9B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20AA4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6339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9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10</cp:revision>
  <cp:lastPrinted>2026-03-02T08:22:00Z</cp:lastPrinted>
  <dcterms:created xsi:type="dcterms:W3CDTF">2025-02-19T03:19:00Z</dcterms:created>
  <dcterms:modified xsi:type="dcterms:W3CDTF">2026-03-10T05:18:00Z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